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D9B" w:rsidRDefault="007E2D9B" w:rsidP="007E2D9B">
      <w:pPr>
        <w:jc w:val="center"/>
        <w:rPr>
          <w:rFonts w:eastAsia="Times New Roman"/>
        </w:rPr>
      </w:pPr>
      <w:r>
        <w:rPr>
          <w:rFonts w:eastAsia="Times New Roman"/>
        </w:rPr>
        <w:t>Лекция 16. Модель дискретно-непрерывного канала. Критерии   качества и правила приема дискретных сообщений. Теория помехоустойчивости систем передачи дискретных сообщений</w:t>
      </w:r>
    </w:p>
    <w:p w:rsidR="007E2D9B" w:rsidRDefault="007E2D9B" w:rsidP="007E2D9B">
      <w:pPr>
        <w:jc w:val="center"/>
      </w:pPr>
    </w:p>
    <w:p w:rsidR="007E2D9B" w:rsidRDefault="007E2D9B" w:rsidP="007E2D9B">
      <w:pPr>
        <w:jc w:val="center"/>
      </w:pPr>
      <w:r>
        <w:t>Содержание лекции:</w:t>
      </w:r>
    </w:p>
    <w:p w:rsidR="007E2D9B" w:rsidRDefault="007E2D9B" w:rsidP="007E2D9B">
      <w:pPr>
        <w:jc w:val="center"/>
        <w:rPr>
          <w:rFonts w:eastAsia="Times New Roman"/>
        </w:rPr>
      </w:pPr>
      <w:r>
        <w:rPr>
          <w:rFonts w:eastAsia="Times New Roman"/>
        </w:rPr>
        <w:t>- модель дискретно-непрерывного канала.</w:t>
      </w:r>
      <w:r>
        <w:rPr>
          <w:rFonts w:eastAsia="Times New Roman"/>
          <w:i/>
          <w:iCs/>
        </w:rPr>
        <w:t xml:space="preserve"> </w:t>
      </w:r>
      <w:r>
        <w:rPr>
          <w:rFonts w:eastAsia="Times New Roman"/>
        </w:rPr>
        <w:t>Критерий Котельникова. Оптимальные алгоритмы приема при полностью известных сигналах (когерентный прием).</w:t>
      </w:r>
    </w:p>
    <w:p w:rsidR="007E2D9B" w:rsidRDefault="007E2D9B" w:rsidP="007E2D9B">
      <w:pPr>
        <w:jc w:val="center"/>
        <w:rPr>
          <w:rFonts w:eastAsia="Times New Roman"/>
        </w:rPr>
      </w:pPr>
    </w:p>
    <w:p w:rsidR="007E2D9B" w:rsidRDefault="007E2D9B" w:rsidP="007E2D9B">
      <w:pPr>
        <w:jc w:val="center"/>
      </w:pPr>
      <w:r>
        <w:t>Цель лекции:</w:t>
      </w:r>
    </w:p>
    <w:p w:rsidR="007E2D9B" w:rsidRDefault="007E2D9B" w:rsidP="007E2D9B">
      <w:pPr>
        <w:jc w:val="center"/>
      </w:pPr>
      <w:r>
        <w:t>- дать математическое описание канала. Синтезировать оптимальный демодулятор.</w:t>
      </w:r>
    </w:p>
    <w:p w:rsidR="007E2D9B" w:rsidRDefault="007E2D9B" w:rsidP="007E2D9B">
      <w:pPr>
        <w:jc w:val="center"/>
      </w:pPr>
    </w:p>
    <w:p w:rsidR="007E2D9B" w:rsidRDefault="007E2D9B" w:rsidP="007E2D9B">
      <w:pPr>
        <w:jc w:val="center"/>
      </w:pPr>
      <w:r>
        <w:rPr>
          <w:i/>
          <w:iCs/>
        </w:rPr>
        <w:t>Дискретно-непрерывный канал</w:t>
      </w:r>
      <w:r>
        <w:t xml:space="preserve"> с независимыми символами </w:t>
      </w:r>
      <w:r>
        <w:rPr>
          <w:i/>
          <w:iCs/>
          <w:lang w:val="en-US"/>
        </w:rPr>
        <w:t>b</w:t>
      </w:r>
      <w:r>
        <w:rPr>
          <w:i/>
          <w:iCs/>
          <w:vertAlign w:val="subscript"/>
          <w:lang w:val="en-US"/>
        </w:rPr>
        <w:t>i</w:t>
      </w:r>
      <w:r>
        <w:t xml:space="preserve">, на входе и непрерывным сигналом </w:t>
      </w:r>
      <w:r>
        <w:rPr>
          <w:i/>
          <w:iCs/>
          <w:lang w:val="en-US"/>
        </w:rPr>
        <w:t>z</w:t>
      </w:r>
      <w:r>
        <w:rPr>
          <w:i/>
          <w:iCs/>
        </w:rPr>
        <w:t>(</w:t>
      </w:r>
      <w:r>
        <w:rPr>
          <w:i/>
          <w:iCs/>
          <w:lang w:val="en-US"/>
        </w:rPr>
        <w:t>t</w:t>
      </w:r>
      <w:r>
        <w:rPr>
          <w:i/>
          <w:iCs/>
        </w:rPr>
        <w:t>)</w:t>
      </w:r>
      <w:r>
        <w:t xml:space="preserve"> на выходе описывается априорными вероятностями входных символов </w:t>
      </w:r>
      <w:r>
        <w:rPr>
          <w:i/>
          <w:iCs/>
          <w:caps/>
          <w:lang w:val="en-US"/>
        </w:rPr>
        <w:t>P</w:t>
      </w:r>
      <w:r>
        <w:rPr>
          <w:i/>
          <w:iCs/>
          <w:caps/>
        </w:rPr>
        <w:t>(</w:t>
      </w:r>
      <w:r>
        <w:rPr>
          <w:i/>
          <w:iCs/>
          <w:lang w:val="en-US"/>
        </w:rPr>
        <w:t>b</w:t>
      </w:r>
      <w:r>
        <w:rPr>
          <w:i/>
          <w:iCs/>
          <w:vertAlign w:val="subscript"/>
          <w:lang w:val="en-US"/>
        </w:rPr>
        <w:t>i</w:t>
      </w:r>
      <w:r>
        <w:rPr>
          <w:i/>
          <w:iCs/>
        </w:rPr>
        <w:t>)</w:t>
      </w:r>
      <w:r>
        <w:rPr>
          <w:caps/>
        </w:rPr>
        <w:t xml:space="preserve"> </w:t>
      </w:r>
      <w:r>
        <w:t xml:space="preserve">и переходными (условными) плотностями </w:t>
      </w:r>
      <w:r>
        <w:rPr>
          <w:lang w:val="en-US"/>
        </w:rPr>
        <w:t>w</w:t>
      </w:r>
      <w:r>
        <w:t>[</w:t>
      </w:r>
      <w:r>
        <w:rPr>
          <w:lang w:val="en-US"/>
        </w:rPr>
        <w:t>z</w:t>
      </w:r>
      <w:r>
        <w:t>|</w:t>
      </w:r>
      <w:r>
        <w:rPr>
          <w:i/>
          <w:iCs/>
        </w:rPr>
        <w:t xml:space="preserve"> </w:t>
      </w:r>
      <w:r>
        <w:rPr>
          <w:i/>
          <w:iCs/>
          <w:lang w:val="en-US"/>
        </w:rPr>
        <w:t>b</w:t>
      </w:r>
      <w:r>
        <w:rPr>
          <w:i/>
          <w:iCs/>
          <w:vertAlign w:val="subscript"/>
          <w:lang w:val="en-US"/>
        </w:rPr>
        <w:t>i</w:t>
      </w:r>
      <w:r>
        <w:t xml:space="preserve">] принимаемой реализации </w:t>
      </w:r>
      <w:r>
        <w:rPr>
          <w:i/>
          <w:iCs/>
          <w:lang w:val="en-US"/>
        </w:rPr>
        <w:t>z</w:t>
      </w:r>
      <w:r>
        <w:rPr>
          <w:i/>
          <w:iCs/>
        </w:rPr>
        <w:t>{</w:t>
      </w:r>
      <w:r>
        <w:rPr>
          <w:i/>
          <w:iCs/>
          <w:lang w:val="en-US"/>
        </w:rPr>
        <w:t>t</w:t>
      </w:r>
      <w:r>
        <w:rPr>
          <w:i/>
          <w:iCs/>
        </w:rPr>
        <w:t>)</w:t>
      </w:r>
      <w:r>
        <w:t xml:space="preserve"> (на заданном интервале </w:t>
      </w:r>
      <w:r>
        <w:rPr>
          <w:i/>
          <w:iCs/>
        </w:rPr>
        <w:t>Т)</w:t>
      </w:r>
      <w:r>
        <w:t xml:space="preserve"> при условии передачи символа </w:t>
      </w:r>
      <w:r>
        <w:rPr>
          <w:i/>
          <w:iCs/>
          <w:lang w:val="en-US"/>
        </w:rPr>
        <w:t>b</w:t>
      </w:r>
      <w:r>
        <w:rPr>
          <w:i/>
          <w:iCs/>
          <w:vertAlign w:val="subscript"/>
          <w:lang w:val="en-US"/>
        </w:rPr>
        <w:t>i</w:t>
      </w:r>
      <w:r>
        <w:rPr>
          <w:i/>
          <w:iCs/>
        </w:rPr>
        <w:t>.</w:t>
      </w:r>
      <w:r>
        <w:t xml:space="preserve"> Эту плотность называют </w:t>
      </w:r>
      <w:r>
        <w:rPr>
          <w:i/>
          <w:iCs/>
        </w:rPr>
        <w:t>функцией правдоподобия</w:t>
      </w:r>
      <w:r>
        <w:t xml:space="preserve">. Вместо функций правдоподобия дискретно-непрерывный канал можно описать апостериорными вероятностями </w:t>
      </w:r>
      <w:r>
        <w:rPr>
          <w:i/>
          <w:iCs/>
        </w:rPr>
        <w:t>Р(</w:t>
      </w:r>
      <w:r>
        <w:rPr>
          <w:i/>
          <w:iCs/>
          <w:lang w:val="en-US"/>
        </w:rPr>
        <w:t>b</w:t>
      </w:r>
      <w:r>
        <w:rPr>
          <w:i/>
          <w:iCs/>
          <w:vertAlign w:val="subscript"/>
          <w:lang w:val="en-US"/>
        </w:rPr>
        <w:t>i</w:t>
      </w:r>
      <w:r>
        <w:rPr>
          <w:i/>
          <w:iCs/>
        </w:rPr>
        <w:t>|</w:t>
      </w:r>
      <w:r>
        <w:rPr>
          <w:i/>
          <w:iCs/>
          <w:lang w:val="en-US"/>
        </w:rPr>
        <w:t>z</w:t>
      </w:r>
      <w:r>
        <w:rPr>
          <w:i/>
          <w:iCs/>
        </w:rPr>
        <w:t>)</w:t>
      </w:r>
      <w:r>
        <w:t xml:space="preserve"> передачи символа </w:t>
      </w:r>
      <w:r>
        <w:rPr>
          <w:i/>
          <w:iCs/>
          <w:lang w:val="en-US"/>
        </w:rPr>
        <w:t>b</w:t>
      </w:r>
      <w:r>
        <w:rPr>
          <w:i/>
          <w:iCs/>
          <w:vertAlign w:val="subscript"/>
          <w:lang w:val="en-US"/>
        </w:rPr>
        <w:t>i</w:t>
      </w:r>
      <w:r>
        <w:t xml:space="preserve">; при фиксации на приёме колебания </w:t>
      </w:r>
      <w:r>
        <w:rPr>
          <w:i/>
          <w:iCs/>
          <w:lang w:val="en-US"/>
        </w:rPr>
        <w:t>z</w:t>
      </w:r>
      <w:r>
        <w:rPr>
          <w:i/>
          <w:iCs/>
        </w:rPr>
        <w:t>(</w:t>
      </w:r>
      <w:r>
        <w:rPr>
          <w:i/>
          <w:iCs/>
          <w:lang w:val="en-US"/>
        </w:rPr>
        <w:t>t</w:t>
      </w:r>
      <w:r>
        <w:rPr>
          <w:i/>
          <w:iCs/>
        </w:rPr>
        <w:t>).</w:t>
      </w:r>
      <w:r>
        <w:t xml:space="preserve"> Согласно формуле Байеса </w:t>
      </w:r>
      <w:r>
        <w:rPr>
          <w:noProof/>
          <w:vertAlign w:val="subscript"/>
        </w:rPr>
        <w:drawing>
          <wp:inline distT="0" distB="0" distL="0" distR="0" wp14:anchorId="70FC335D" wp14:editId="164B6EF9">
            <wp:extent cx="1552575" cy="419100"/>
            <wp:effectExtent l="0" t="0" r="9525" b="0"/>
            <wp:docPr id="1" name="Picture 1" descr="C:\Users\Василий\Desktop\Нов лек ТЭС\Лекции ТЭС последние\ГЛАВА 2_files\image3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Users\Василий\Desktop\Нов лек ТЭС\Лекции ТЭС последние\ГЛАВА 2_files\image319.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1552575" cy="419100"/>
                    </a:xfrm>
                    <a:prstGeom prst="rect">
                      <a:avLst/>
                    </a:prstGeom>
                    <a:noFill/>
                    <a:ln>
                      <a:noFill/>
                    </a:ln>
                  </pic:spPr>
                </pic:pic>
              </a:graphicData>
            </a:graphic>
          </wp:inline>
        </w:drawing>
      </w:r>
      <w:r>
        <w:t>,</w:t>
      </w:r>
    </w:p>
    <w:p w:rsidR="007E2D9B" w:rsidRDefault="007E2D9B" w:rsidP="007E2D9B">
      <w:pPr>
        <w:jc w:val="center"/>
      </w:pPr>
      <w:r>
        <w:t xml:space="preserve">где плотность принимаемого колебания </w:t>
      </w:r>
      <w:r>
        <w:rPr>
          <w:noProof/>
          <w:vertAlign w:val="subscript"/>
        </w:rPr>
        <w:drawing>
          <wp:inline distT="0" distB="0" distL="0" distR="0" wp14:anchorId="66ED076B" wp14:editId="2E428038">
            <wp:extent cx="1409700" cy="428625"/>
            <wp:effectExtent l="0" t="0" r="0" b="9525"/>
            <wp:docPr id="2" name="Picture 2" descr="C:\Users\Василий\Desktop\Нов лек ТЭС\Лекции ТЭС последние\ГЛАВА 2_files\image3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Василий\Desktop\Нов лек ТЭС\Лекции ТЭС последние\ГЛАВА 2_files\image320.gif"/>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409700" cy="428625"/>
                    </a:xfrm>
                    <a:prstGeom prst="rect">
                      <a:avLst/>
                    </a:prstGeom>
                    <a:noFill/>
                    <a:ln>
                      <a:noFill/>
                    </a:ln>
                  </pic:spPr>
                </pic:pic>
              </a:graphicData>
            </a:graphic>
          </wp:inline>
        </w:drawing>
      </w:r>
      <w:r>
        <w:t>,             (16.1)</w:t>
      </w:r>
    </w:p>
    <w:p w:rsidR="007E2D9B" w:rsidRDefault="007E2D9B" w:rsidP="007E2D9B">
      <w:pPr>
        <w:jc w:val="center"/>
      </w:pPr>
      <w:r>
        <w:t xml:space="preserve">где </w:t>
      </w:r>
      <w:r>
        <w:rPr>
          <w:i/>
          <w:iCs/>
          <w:lang w:val="en-US"/>
        </w:rPr>
        <w:t>P</w:t>
      </w:r>
      <w:r>
        <w:rPr>
          <w:i/>
          <w:iCs/>
        </w:rPr>
        <w:t>(</w:t>
      </w:r>
      <w:r>
        <w:rPr>
          <w:i/>
          <w:iCs/>
          <w:lang w:val="en-US"/>
        </w:rPr>
        <w:t>b</w:t>
      </w:r>
      <w:r>
        <w:rPr>
          <w:i/>
          <w:iCs/>
          <w:vertAlign w:val="subscript"/>
          <w:lang w:val="en-US"/>
        </w:rPr>
        <w:t>i</w:t>
      </w:r>
      <w:r>
        <w:rPr>
          <w:i/>
          <w:iCs/>
        </w:rPr>
        <w:t>)</w:t>
      </w:r>
      <w:r>
        <w:t xml:space="preserve"> — априорная вероятность передачи символа </w:t>
      </w:r>
      <w:r>
        <w:rPr>
          <w:i/>
          <w:iCs/>
          <w:lang w:val="en-US"/>
        </w:rPr>
        <w:t>b</w:t>
      </w:r>
      <w:r>
        <w:rPr>
          <w:i/>
          <w:iCs/>
          <w:vertAlign w:val="subscript"/>
          <w:lang w:val="en-US"/>
        </w:rPr>
        <w:t>i</w:t>
      </w:r>
      <w:r w:rsidRPr="00DF3D91">
        <w:t xml:space="preserve"> </w:t>
      </w:r>
      <w:r>
        <w:t>(т.е. та вероятность, которая имеет место до наблюдения и анализа, и определяемая статистикой источника сообщения и правилом кодирования).</w:t>
      </w:r>
    </w:p>
    <w:p w:rsidR="007E2D9B" w:rsidRDefault="007E2D9B" w:rsidP="007E2D9B">
      <w:pPr>
        <w:jc w:val="center"/>
      </w:pPr>
      <w:r>
        <w:t xml:space="preserve">Рассмотрим сначала широко распространённый </w:t>
      </w:r>
      <w:r>
        <w:rPr>
          <w:i/>
          <w:iCs/>
        </w:rPr>
        <w:t>критерий Котельникова</w:t>
      </w:r>
      <w:r>
        <w:t xml:space="preserve"> или критерий идеального наблюдателя, согласно которому качество демодулятора оценивают безусловной (средней) вероятностью правильного приёма символа.</w:t>
      </w:r>
    </w:p>
    <w:p w:rsidR="007E2D9B" w:rsidRDefault="007E2D9B" w:rsidP="007E2D9B">
      <w:pPr>
        <w:jc w:val="center"/>
      </w:pPr>
      <w:r>
        <w:t xml:space="preserve">Пусть на вход демодулятора в течение отрезка [0, </w:t>
      </w:r>
      <w:r>
        <w:rPr>
          <w:lang w:val="en-US"/>
        </w:rPr>
        <w:t>T</w:t>
      </w:r>
      <w:r>
        <w:t xml:space="preserve">] приходит некоторый элемент сигнала </w:t>
      </w:r>
      <w:r>
        <w:rPr>
          <w:i/>
          <w:iCs/>
          <w:lang w:val="en-US"/>
        </w:rPr>
        <w:t>z</w:t>
      </w:r>
      <w:r>
        <w:rPr>
          <w:i/>
          <w:iCs/>
        </w:rPr>
        <w:t>(</w:t>
      </w:r>
      <w:r>
        <w:rPr>
          <w:i/>
          <w:iCs/>
          <w:lang w:val="en-US"/>
        </w:rPr>
        <w:t>t</w:t>
      </w:r>
      <w:r>
        <w:rPr>
          <w:i/>
          <w:iCs/>
        </w:rPr>
        <w:t>).</w:t>
      </w:r>
      <w:r>
        <w:t xml:space="preserve"> Предположим, что демодулятор принимает при этом решение, что передан символ </w:t>
      </w:r>
      <w:r>
        <w:rPr>
          <w:i/>
          <w:iCs/>
          <w:lang w:val="en-US"/>
        </w:rPr>
        <w:t>b</w:t>
      </w:r>
      <w:r>
        <w:rPr>
          <w:i/>
          <w:iCs/>
          <w:vertAlign w:val="subscript"/>
          <w:lang w:val="en-US"/>
        </w:rPr>
        <w:t>i</w:t>
      </w:r>
      <w:r>
        <w:t>,</w:t>
      </w:r>
      <w:r>
        <w:rPr>
          <w:i/>
          <w:iCs/>
          <w:vertAlign w:val="subscript"/>
        </w:rPr>
        <w:t xml:space="preserve"> </w:t>
      </w:r>
      <w:r>
        <w:t xml:space="preserve"> т.е. выдаёт оценку </w:t>
      </w:r>
      <w:r>
        <w:rPr>
          <w:noProof/>
          <w:vertAlign w:val="subscript"/>
        </w:rPr>
        <w:drawing>
          <wp:inline distT="0" distB="0" distL="0" distR="0" wp14:anchorId="483DB0D8" wp14:editId="01B639C5">
            <wp:extent cx="152400" cy="257175"/>
            <wp:effectExtent l="0" t="0" r="0" b="9525"/>
            <wp:docPr id="3" name="Picture 3" descr="C:\Users\Василий\Desktop\Нов лек ТЭС\Лекции ТЭС последние\ГЛАВА 2_files\image3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Василий\Desktop\Нов лек ТЭС\Лекции ТЭС последние\ГЛАВА 2_files\image321.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52400" cy="257175"/>
                    </a:xfrm>
                    <a:prstGeom prst="rect">
                      <a:avLst/>
                    </a:prstGeom>
                    <a:noFill/>
                    <a:ln>
                      <a:noFill/>
                    </a:ln>
                  </pic:spPr>
                </pic:pic>
              </a:graphicData>
            </a:graphic>
          </wp:inline>
        </w:drawing>
      </w:r>
      <w:r>
        <w:t xml:space="preserve">. Вероятность того, что это решение правильно, очевидно, равна условной вероятности </w:t>
      </w:r>
      <w:r>
        <w:rPr>
          <w:i/>
          <w:iCs/>
          <w:lang w:val="en-US"/>
        </w:rPr>
        <w:t>P</w:t>
      </w:r>
      <w:r>
        <w:t>(</w:t>
      </w:r>
      <w:r>
        <w:rPr>
          <w:i/>
          <w:iCs/>
          <w:lang w:val="en-US"/>
        </w:rPr>
        <w:t>b</w:t>
      </w:r>
      <w:r>
        <w:rPr>
          <w:i/>
          <w:iCs/>
          <w:vertAlign w:val="subscript"/>
          <w:lang w:val="en-US"/>
        </w:rPr>
        <w:t>i</w:t>
      </w:r>
      <w:r>
        <w:rPr>
          <w:i/>
          <w:iCs/>
        </w:rPr>
        <w:t>|</w:t>
      </w:r>
      <w:r>
        <w:rPr>
          <w:i/>
          <w:iCs/>
          <w:lang w:val="en-US"/>
        </w:rPr>
        <w:t>z</w:t>
      </w:r>
      <w:r>
        <w:rPr>
          <w:i/>
          <w:iCs/>
        </w:rPr>
        <w:t>(</w:t>
      </w:r>
      <w:r>
        <w:rPr>
          <w:i/>
          <w:iCs/>
          <w:lang w:val="en-US"/>
        </w:rPr>
        <w:t>t</w:t>
      </w:r>
      <w:r>
        <w:rPr>
          <w:i/>
          <w:iCs/>
        </w:rPr>
        <w:t>)</w:t>
      </w:r>
      <w:r>
        <w:t xml:space="preserve">) того, что действительно передавался символ </w:t>
      </w:r>
      <w:r>
        <w:rPr>
          <w:i/>
          <w:iCs/>
          <w:lang w:val="en-US"/>
        </w:rPr>
        <w:t>b</w:t>
      </w:r>
      <w:r>
        <w:rPr>
          <w:i/>
          <w:iCs/>
          <w:vertAlign w:val="subscript"/>
          <w:lang w:val="en-US"/>
        </w:rPr>
        <w:t>i</w:t>
      </w:r>
      <w:r>
        <w:t xml:space="preserve">, при условии прихода реализации элемента сигнала </w:t>
      </w:r>
      <w:r>
        <w:rPr>
          <w:i/>
          <w:iCs/>
          <w:lang w:val="en-US"/>
        </w:rPr>
        <w:t>z</w:t>
      </w:r>
      <w:r>
        <w:rPr>
          <w:i/>
          <w:iCs/>
        </w:rPr>
        <w:t>(</w:t>
      </w:r>
      <w:r>
        <w:rPr>
          <w:i/>
          <w:iCs/>
          <w:lang w:val="en-US"/>
        </w:rPr>
        <w:t>t</w:t>
      </w:r>
      <w:r>
        <w:rPr>
          <w:i/>
          <w:iCs/>
        </w:rPr>
        <w:t>).</w:t>
      </w:r>
      <w:r>
        <w:t xml:space="preserve"> Её называют </w:t>
      </w:r>
      <w:r>
        <w:rPr>
          <w:i/>
          <w:iCs/>
        </w:rPr>
        <w:t xml:space="preserve">апостериорной вероятностью символа </w:t>
      </w:r>
      <w:r>
        <w:rPr>
          <w:i/>
          <w:iCs/>
          <w:lang w:val="en-US"/>
        </w:rPr>
        <w:t>b</w:t>
      </w:r>
      <w:r>
        <w:rPr>
          <w:i/>
          <w:iCs/>
          <w:vertAlign w:val="subscript"/>
          <w:lang w:val="en-US"/>
        </w:rPr>
        <w:t>i</w:t>
      </w:r>
      <w:r w:rsidRPr="00DF3D91">
        <w:rPr>
          <w:caps/>
        </w:rPr>
        <w:t xml:space="preserve"> </w:t>
      </w:r>
      <w:r>
        <w:t xml:space="preserve">(т.е. вероятностью, определённой после опыта, заключающегося в наблюдении и анализе сигнала </w:t>
      </w:r>
      <w:r>
        <w:rPr>
          <w:i/>
          <w:iCs/>
          <w:lang w:val="en-US"/>
        </w:rPr>
        <w:t>z</w:t>
      </w:r>
      <w:r>
        <w:rPr>
          <w:i/>
          <w:iCs/>
        </w:rPr>
        <w:t>(</w:t>
      </w:r>
      <w:r>
        <w:rPr>
          <w:i/>
          <w:iCs/>
          <w:lang w:val="en-US"/>
        </w:rPr>
        <w:t>t</w:t>
      </w:r>
      <w:r>
        <w:rPr>
          <w:i/>
          <w:iCs/>
        </w:rPr>
        <w:t>)).</w:t>
      </w:r>
    </w:p>
    <w:p w:rsidR="007E2D9B" w:rsidRDefault="007E2D9B" w:rsidP="007E2D9B">
      <w:pPr>
        <w:jc w:val="center"/>
      </w:pPr>
      <w:r>
        <w:t xml:space="preserve">Другими словами, критерий идеального наблюдателя обеспечивается решающей схемой, построенной по правилу максимума апостериорной вероятности — решение </w:t>
      </w:r>
      <w:r>
        <w:rPr>
          <w:noProof/>
          <w:vertAlign w:val="subscript"/>
        </w:rPr>
        <w:drawing>
          <wp:inline distT="0" distB="0" distL="0" distR="0" wp14:anchorId="46D2F23D" wp14:editId="25A3E66E">
            <wp:extent cx="152400" cy="266700"/>
            <wp:effectExtent l="0" t="0" r="0" b="0"/>
            <wp:docPr id="4" name="Picture 4" descr="C:\Users\Василий\Desktop\Нов лек ТЭС\Лекции ТЭС последние\ГЛАВА 2_files\image3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Василий\Desktop\Нов лек ТЭС\Лекции ТЭС последние\ГЛАВА 2_files\image322.gif"/>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152400" cy="266700"/>
                    </a:xfrm>
                    <a:prstGeom prst="rect">
                      <a:avLst/>
                    </a:prstGeom>
                    <a:noFill/>
                    <a:ln>
                      <a:noFill/>
                    </a:ln>
                  </pic:spPr>
                </pic:pic>
              </a:graphicData>
            </a:graphic>
          </wp:inline>
        </w:drawing>
      </w:r>
      <w:r>
        <w:t xml:space="preserve">, принимается в том случае, если выполняется система из </w:t>
      </w:r>
      <w:r>
        <w:rPr>
          <w:i/>
          <w:iCs/>
        </w:rPr>
        <w:t>т -</w:t>
      </w:r>
      <w:r>
        <w:t xml:space="preserve"> неравенств</w:t>
      </w:r>
    </w:p>
    <w:p w:rsidR="007E2D9B" w:rsidRDefault="007E2D9B" w:rsidP="007E2D9B">
      <w:pPr>
        <w:jc w:val="center"/>
      </w:pPr>
      <w:r>
        <w:rPr>
          <w:noProof/>
          <w:vertAlign w:val="subscript"/>
        </w:rPr>
        <w:drawing>
          <wp:inline distT="0" distB="0" distL="0" distR="0" wp14:anchorId="1BCBD365" wp14:editId="75797D77">
            <wp:extent cx="2276475" cy="266700"/>
            <wp:effectExtent l="0" t="0" r="9525" b="0"/>
            <wp:docPr id="5" name="Picture 5" descr="C:\Users\Василий\Desktop\Нов лек ТЭС\Лекции ТЭС последние\ГЛАВА 2_files\image3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Василий\Desktop\Нов лек ТЭС\Лекции ТЭС последние\ГЛАВА 2_files\image323.gif"/>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2276475" cy="266700"/>
                    </a:xfrm>
                    <a:prstGeom prst="rect">
                      <a:avLst/>
                    </a:prstGeom>
                    <a:noFill/>
                    <a:ln>
                      <a:noFill/>
                    </a:ln>
                  </pic:spPr>
                </pic:pic>
              </a:graphicData>
            </a:graphic>
          </wp:inline>
        </w:drawing>
      </w:r>
      <w:r>
        <w:rPr>
          <w:i/>
          <w:iCs/>
        </w:rPr>
        <w:t>.</w:t>
      </w:r>
      <w:r>
        <w:t>           (16.2)</w:t>
      </w:r>
    </w:p>
    <w:p w:rsidR="007E2D9B" w:rsidRDefault="007E2D9B" w:rsidP="007E2D9B">
      <w:pPr>
        <w:jc w:val="center"/>
      </w:pPr>
      <w:r>
        <w:t>Для двоичной системы сигналов упомянутое правило сводится к проверке неравенства</w:t>
      </w:r>
    </w:p>
    <w:p w:rsidR="007E2D9B" w:rsidRDefault="007E2D9B" w:rsidP="007E2D9B">
      <w:pPr>
        <w:jc w:val="center"/>
      </w:pPr>
      <w:proofErr w:type="gramStart"/>
      <w:r>
        <w:rPr>
          <w:i/>
          <w:iCs/>
          <w:lang w:val="en-US"/>
        </w:rPr>
        <w:t>P</w:t>
      </w:r>
      <w:r>
        <w:rPr>
          <w:i/>
          <w:iCs/>
        </w:rPr>
        <w:t>(</w:t>
      </w:r>
      <w:proofErr w:type="gramEnd"/>
      <w:r>
        <w:rPr>
          <w:i/>
          <w:iCs/>
        </w:rPr>
        <w:t>1|</w:t>
      </w:r>
      <w:r>
        <w:rPr>
          <w:i/>
          <w:iCs/>
          <w:lang w:val="en-US"/>
        </w:rPr>
        <w:t>z</w:t>
      </w:r>
      <w:r>
        <w:rPr>
          <w:i/>
          <w:iCs/>
        </w:rPr>
        <w:t xml:space="preserve">) &gt; </w:t>
      </w:r>
      <w:r>
        <w:rPr>
          <w:i/>
          <w:iCs/>
          <w:lang w:val="en-US"/>
        </w:rPr>
        <w:t>P</w:t>
      </w:r>
      <w:r>
        <w:rPr>
          <w:i/>
          <w:iCs/>
        </w:rPr>
        <w:t>(0|</w:t>
      </w:r>
      <w:r>
        <w:rPr>
          <w:i/>
          <w:iCs/>
          <w:lang w:val="en-US"/>
        </w:rPr>
        <w:t>z</w:t>
      </w:r>
      <w:r>
        <w:rPr>
          <w:i/>
          <w:iCs/>
        </w:rPr>
        <w:t>).</w:t>
      </w:r>
      <w:r>
        <w:t>                                       (16.3)</w:t>
      </w:r>
    </w:p>
    <w:p w:rsidR="007E2D9B" w:rsidRDefault="007E2D9B" w:rsidP="007E2D9B">
      <w:pPr>
        <w:jc w:val="center"/>
      </w:pPr>
      <w:r>
        <w:t>При выполнении неравенства (16.3) регистрируется символ 1, в противном случае — 0.</w:t>
      </w:r>
    </w:p>
    <w:p w:rsidR="007E2D9B" w:rsidRDefault="007E2D9B" w:rsidP="007E2D9B">
      <w:pPr>
        <w:jc w:val="center"/>
      </w:pPr>
      <w:r>
        <w:t xml:space="preserve">Подставив (16.1) в (16.2) и учитывая, что </w:t>
      </w:r>
      <w:r>
        <w:rPr>
          <w:lang w:val="en-US"/>
        </w:rPr>
        <w:t>w</w:t>
      </w:r>
      <w:r>
        <w:t>(</w:t>
      </w:r>
      <w:r>
        <w:rPr>
          <w:lang w:val="en-US"/>
        </w:rPr>
        <w:t>z</w:t>
      </w:r>
      <w:r>
        <w:t xml:space="preserve">) — безусловная плотность вероятности, не являющаяся функцией </w:t>
      </w:r>
      <w:proofErr w:type="spellStart"/>
      <w:r>
        <w:rPr>
          <w:i/>
          <w:iCs/>
          <w:lang w:val="en-US"/>
        </w:rPr>
        <w:t>i</w:t>
      </w:r>
      <w:proofErr w:type="spellEnd"/>
      <w:r>
        <w:t>, можно записать правило решения по критерию идеального наблюдателя в следующей форме</w:t>
      </w:r>
    </w:p>
    <w:p w:rsidR="007E2D9B" w:rsidRDefault="007E2D9B" w:rsidP="007E2D9B">
      <w:pPr>
        <w:jc w:val="center"/>
      </w:pPr>
      <w:r>
        <w:rPr>
          <w:i/>
          <w:noProof/>
          <w:vertAlign w:val="subscript"/>
        </w:rPr>
        <w:drawing>
          <wp:inline distT="0" distB="0" distL="0" distR="0" wp14:anchorId="50CF2BC6" wp14:editId="36CF3A59">
            <wp:extent cx="3267075" cy="238125"/>
            <wp:effectExtent l="0" t="0" r="9525" b="9525"/>
            <wp:docPr id="6" name="Picture 6" descr="C:\Users\Василий\Desktop\Нов лек ТЭС\Лекции ТЭС последние\ГЛАВА 2_files\image3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Василий\Desktop\Нов лек ТЭС\Лекции ТЭС последние\ГЛАВА 2_files\image324.gif"/>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3267075" cy="238125"/>
                    </a:xfrm>
                    <a:prstGeom prst="rect">
                      <a:avLst/>
                    </a:prstGeom>
                    <a:noFill/>
                    <a:ln>
                      <a:noFill/>
                    </a:ln>
                  </pic:spPr>
                </pic:pic>
              </a:graphicData>
            </a:graphic>
          </wp:inline>
        </w:drawing>
      </w:r>
    </w:p>
    <w:p w:rsidR="007E2D9B" w:rsidRDefault="007E2D9B" w:rsidP="007E2D9B">
      <w:pPr>
        <w:jc w:val="center"/>
      </w:pPr>
      <w:r>
        <w:t>Приёмник, реализующий этот алгоритм , называют приёмником Котельникова. Для двоичной системы правило сводится к проверке неравенства</w:t>
      </w:r>
    </w:p>
    <w:p w:rsidR="007E2D9B" w:rsidRDefault="007E2D9B" w:rsidP="007E2D9B">
      <w:pPr>
        <w:jc w:val="center"/>
      </w:pPr>
      <w:r>
        <w:rPr>
          <w:noProof/>
          <w:vertAlign w:val="subscript"/>
        </w:rPr>
        <w:drawing>
          <wp:inline distT="0" distB="0" distL="0" distR="0" wp14:anchorId="46FE45FE" wp14:editId="23CFFD10">
            <wp:extent cx="1666875" cy="200025"/>
            <wp:effectExtent l="0" t="0" r="9525" b="9525"/>
            <wp:docPr id="7" name="Picture 7" descr="C:\Users\Василий\Desktop\Нов лек ТЭС\Лекции ТЭС последние\ГЛАВА 2_files\image3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Василий\Desktop\Нов лек ТЭС\Лекции ТЭС последние\ГЛАВА 2_files\image325.gif"/>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666875" cy="200025"/>
                    </a:xfrm>
                    <a:prstGeom prst="rect">
                      <a:avLst/>
                    </a:prstGeom>
                    <a:noFill/>
                    <a:ln>
                      <a:noFill/>
                    </a:ln>
                  </pic:spPr>
                </pic:pic>
              </a:graphicData>
            </a:graphic>
          </wp:inline>
        </w:drawing>
      </w:r>
      <w:r>
        <w:t>(16.4)</w:t>
      </w:r>
    </w:p>
    <w:p w:rsidR="007E2D9B" w:rsidRDefault="007E2D9B" w:rsidP="007E2D9B">
      <w:pPr>
        <w:jc w:val="center"/>
      </w:pPr>
      <w:r>
        <w:lastRenderedPageBreak/>
        <w:t>при выполнении которого регистрируется символ 1, а при невыполнении — 0.</w:t>
      </w:r>
    </w:p>
    <w:p w:rsidR="007E2D9B" w:rsidRDefault="007E2D9B" w:rsidP="007E2D9B">
      <w:pPr>
        <w:jc w:val="center"/>
      </w:pPr>
      <w:r>
        <w:t xml:space="preserve">Для построения решающей схемы по правилу критерия идеального наблюдателя необходимо знать априорные вероятности символов </w:t>
      </w:r>
      <w:r>
        <w:rPr>
          <w:i/>
          <w:iCs/>
          <w:lang w:val="en-US"/>
        </w:rPr>
        <w:t>P</w:t>
      </w:r>
      <w:r>
        <w:rPr>
          <w:i/>
          <w:iCs/>
        </w:rPr>
        <w:t>(</w:t>
      </w:r>
      <w:r>
        <w:rPr>
          <w:i/>
          <w:iCs/>
          <w:lang w:val="en-US"/>
        </w:rPr>
        <w:t>b</w:t>
      </w:r>
      <w:r>
        <w:rPr>
          <w:i/>
          <w:iCs/>
          <w:vertAlign w:val="subscript"/>
          <w:lang w:val="en-US"/>
        </w:rPr>
        <w:t>i</w:t>
      </w:r>
      <w:r>
        <w:rPr>
          <w:i/>
          <w:iCs/>
        </w:rPr>
        <w:t>),</w:t>
      </w:r>
      <w:r>
        <w:t xml:space="preserve"> а также свойства модулятора и канала, определяющие условные плотности </w:t>
      </w:r>
      <w:r>
        <w:rPr>
          <w:lang w:val="en-US"/>
        </w:rPr>
        <w:t>w</w:t>
      </w:r>
      <w:r>
        <w:t>(</w:t>
      </w:r>
      <w:r>
        <w:rPr>
          <w:lang w:val="en-US"/>
        </w:rPr>
        <w:t>z</w:t>
      </w:r>
      <w:r>
        <w:t>|</w:t>
      </w:r>
      <w:r>
        <w:rPr>
          <w:i/>
          <w:iCs/>
          <w:lang w:val="en-US"/>
        </w:rPr>
        <w:t>b</w:t>
      </w:r>
      <w:r>
        <w:rPr>
          <w:i/>
          <w:iCs/>
          <w:vertAlign w:val="subscript"/>
          <w:lang w:val="en-US"/>
        </w:rPr>
        <w:t>i</w:t>
      </w:r>
      <w:r>
        <w:t>),</w:t>
      </w:r>
      <w:r>
        <w:rPr>
          <w:lang w:val="en-US"/>
        </w:rPr>
        <w:t>j</w:t>
      </w:r>
      <w:r>
        <w:t xml:space="preserve"> - функции правдоподобия.</w:t>
      </w:r>
    </w:p>
    <w:p w:rsidR="007E2D9B" w:rsidRDefault="007E2D9B" w:rsidP="007E2D9B">
      <w:pPr>
        <w:jc w:val="center"/>
      </w:pPr>
      <w:r>
        <w:t xml:space="preserve">Критерий Котельникова можно записать иначе. Решение о том, что передавался символ </w:t>
      </w:r>
      <w:r>
        <w:rPr>
          <w:i/>
          <w:iCs/>
          <w:lang w:val="en-US"/>
        </w:rPr>
        <w:t>b</w:t>
      </w:r>
      <w:r>
        <w:rPr>
          <w:i/>
          <w:iCs/>
          <w:vertAlign w:val="subscript"/>
          <w:lang w:val="en-US"/>
        </w:rPr>
        <w:t>i</w:t>
      </w:r>
      <w:r>
        <w:t xml:space="preserve"> должно приниматься, если для всех </w:t>
      </w:r>
      <w:r>
        <w:rPr>
          <w:i/>
          <w:iCs/>
          <w:lang w:val="en-US"/>
        </w:rPr>
        <w:t>j</w:t>
      </w:r>
      <w:r>
        <w:rPr>
          <w:i/>
          <w:iCs/>
        </w:rPr>
        <w:t xml:space="preserve">≠ </w:t>
      </w:r>
      <w:proofErr w:type="spellStart"/>
      <w:r>
        <w:rPr>
          <w:i/>
          <w:iCs/>
          <w:lang w:val="en-US"/>
        </w:rPr>
        <w:t>i</w:t>
      </w:r>
      <w:proofErr w:type="spellEnd"/>
      <w:r>
        <w:t xml:space="preserve"> выполняются </w:t>
      </w:r>
      <w:r>
        <w:rPr>
          <w:i/>
          <w:iCs/>
        </w:rPr>
        <w:t>т —</w:t>
      </w:r>
      <w:r>
        <w:t xml:space="preserve"> 1 неравенств                     </w:t>
      </w:r>
      <w:r>
        <w:rPr>
          <w:i/>
          <w:noProof/>
          <w:vertAlign w:val="subscript"/>
        </w:rPr>
        <w:drawing>
          <wp:inline distT="0" distB="0" distL="0" distR="0" wp14:anchorId="7D2C15D7" wp14:editId="1F4EE0CE">
            <wp:extent cx="1104900" cy="466725"/>
            <wp:effectExtent l="0" t="0" r="0" b="9525"/>
            <wp:docPr id="8" name="Picture 8" descr="C:\Users\Василий\Desktop\Нов лек ТЭС\Лекции ТЭС последние\ГЛАВА 2_files\image3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Василий\Desktop\Нов лек ТЭС\Лекции ТЭС последние\ГЛАВА 2_files\image326.gif"/>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1104900" cy="466725"/>
                    </a:xfrm>
                    <a:prstGeom prst="rect">
                      <a:avLst/>
                    </a:prstGeom>
                    <a:noFill/>
                    <a:ln>
                      <a:noFill/>
                    </a:ln>
                  </pic:spPr>
                </pic:pic>
              </a:graphicData>
            </a:graphic>
          </wp:inline>
        </w:drawing>
      </w:r>
      <w:r>
        <w:rPr>
          <w:i/>
          <w:iCs/>
        </w:rPr>
        <w:t>.</w:t>
      </w:r>
      <w:r>
        <w:t>                         (16.5)</w:t>
      </w:r>
    </w:p>
    <w:p w:rsidR="007E2D9B" w:rsidRDefault="007E2D9B" w:rsidP="007E2D9B">
      <w:pPr>
        <w:jc w:val="center"/>
      </w:pPr>
      <w:r>
        <w:t xml:space="preserve">Отношение в левой части этого неравенства называется </w:t>
      </w:r>
      <w:r>
        <w:rPr>
          <w:i/>
          <w:iCs/>
        </w:rPr>
        <w:t>отношением правдоподобия</w:t>
      </w:r>
      <w:r>
        <w:t xml:space="preserve"> двух гипотез: о том, что передавался символ </w:t>
      </w:r>
      <w:r>
        <w:rPr>
          <w:i/>
          <w:iCs/>
          <w:lang w:val="en-US"/>
        </w:rPr>
        <w:t>b</w:t>
      </w:r>
      <w:r>
        <w:rPr>
          <w:i/>
          <w:iCs/>
          <w:vertAlign w:val="subscript"/>
          <w:lang w:val="en-US"/>
        </w:rPr>
        <w:t>i</w:t>
      </w:r>
      <w:r>
        <w:rPr>
          <w:i/>
          <w:iCs/>
        </w:rPr>
        <w:t>,</w:t>
      </w:r>
      <w:r>
        <w:t xml:space="preserve"> и о том, что передавался символ </w:t>
      </w:r>
      <w:proofErr w:type="spellStart"/>
      <w:r>
        <w:rPr>
          <w:i/>
          <w:iCs/>
          <w:lang w:val="en-US"/>
        </w:rPr>
        <w:t>b</w:t>
      </w:r>
      <w:r>
        <w:rPr>
          <w:i/>
          <w:iCs/>
          <w:vertAlign w:val="subscript"/>
          <w:lang w:val="en-US"/>
        </w:rPr>
        <w:t>j</w:t>
      </w:r>
      <w:proofErr w:type="spellEnd"/>
      <w:r>
        <w:rPr>
          <w:i/>
          <w:iCs/>
        </w:rPr>
        <w:t>.</w:t>
      </w:r>
      <w:r>
        <w:t xml:space="preserve"> Его обозначают Λ</w:t>
      </w:r>
      <w:proofErr w:type="spellStart"/>
      <w:r>
        <w:rPr>
          <w:i/>
          <w:iCs/>
          <w:vertAlign w:val="subscript"/>
          <w:lang w:val="en-US"/>
        </w:rPr>
        <w:t>ij</w:t>
      </w:r>
      <w:proofErr w:type="spellEnd"/>
      <w:r>
        <w:t>,.</w:t>
      </w:r>
    </w:p>
    <w:p w:rsidR="007E2D9B" w:rsidRDefault="007E2D9B" w:rsidP="007E2D9B">
      <w:pPr>
        <w:jc w:val="center"/>
      </w:pPr>
      <w:r>
        <w:t xml:space="preserve">В случае, когда все </w:t>
      </w:r>
      <w:r>
        <w:rPr>
          <w:i/>
          <w:iCs/>
        </w:rPr>
        <w:t>т</w:t>
      </w:r>
      <w:r>
        <w:t xml:space="preserve"> символов передаются равновероятно, т.е. </w:t>
      </w:r>
      <w:proofErr w:type="gramStart"/>
      <w:r>
        <w:rPr>
          <w:i/>
          <w:iCs/>
          <w:lang w:val="en-US"/>
        </w:rPr>
        <w:t>P</w:t>
      </w:r>
      <w:r>
        <w:rPr>
          <w:i/>
          <w:iCs/>
        </w:rPr>
        <w:t>(</w:t>
      </w:r>
      <w:proofErr w:type="gramEnd"/>
      <w:r>
        <w:rPr>
          <w:i/>
          <w:iCs/>
          <w:lang w:val="en-US"/>
        </w:rPr>
        <w:t>b</w:t>
      </w:r>
      <w:r>
        <w:rPr>
          <w:i/>
          <w:iCs/>
          <w:vertAlign w:val="subscript"/>
          <w:lang w:val="en-US"/>
        </w:rPr>
        <w:t>i</w:t>
      </w:r>
      <w:r>
        <w:rPr>
          <w:i/>
          <w:iCs/>
        </w:rPr>
        <w:t>)</w:t>
      </w:r>
      <w:r>
        <w:t xml:space="preserve"> = 1/</w:t>
      </w:r>
      <w:r>
        <w:rPr>
          <w:lang w:val="en-US"/>
        </w:rPr>
        <w:t>m</w:t>
      </w:r>
      <w:r>
        <w:t>, правило (16.5) упрощается</w:t>
      </w:r>
    </w:p>
    <w:p w:rsidR="007E2D9B" w:rsidRDefault="007E2D9B" w:rsidP="007E2D9B">
      <w:pPr>
        <w:jc w:val="center"/>
      </w:pPr>
      <w:r>
        <w:rPr>
          <w:i/>
          <w:iCs/>
        </w:rPr>
        <w:t>Λ</w:t>
      </w:r>
      <w:proofErr w:type="spellStart"/>
      <w:r>
        <w:rPr>
          <w:i/>
          <w:iCs/>
          <w:vertAlign w:val="subscript"/>
          <w:lang w:val="en-US"/>
        </w:rPr>
        <w:t>ij</w:t>
      </w:r>
      <w:proofErr w:type="spellEnd"/>
      <w:r>
        <w:rPr>
          <w:i/>
          <w:iCs/>
        </w:rPr>
        <w:t xml:space="preserve">&gt;1, </w:t>
      </w:r>
      <w:proofErr w:type="spellStart"/>
      <w:r>
        <w:rPr>
          <w:i/>
          <w:iCs/>
          <w:lang w:val="en-US"/>
        </w:rPr>
        <w:t>i</w:t>
      </w:r>
      <w:proofErr w:type="spellEnd"/>
      <w:r>
        <w:rPr>
          <w:i/>
          <w:noProof/>
          <w:vertAlign w:val="subscript"/>
        </w:rPr>
        <w:drawing>
          <wp:inline distT="0" distB="0" distL="0" distR="0" wp14:anchorId="3012F084" wp14:editId="61A1BBD6">
            <wp:extent cx="1485900" cy="266700"/>
            <wp:effectExtent l="0" t="0" r="0" b="0"/>
            <wp:docPr id="9" name="Picture 9" descr="C:\Users\Василий\Desktop\Нов лек ТЭС\Лекции ТЭС последние\ГЛАВА 2_files\image3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Василий\Desktop\Нов лек ТЭС\Лекции ТЭС последние\ГЛАВА 2_files\image327.gif"/>
                    <pic:cNvPicPr>
                      <a:picLocks noChangeAspect="1" noChangeArrowheads="1"/>
                    </pic:cNvPicPr>
                  </pic:nvPicPr>
                  <pic:blipFill>
                    <a:blip r:link="rId13">
                      <a:extLst>
                        <a:ext uri="{28A0092B-C50C-407E-A947-70E740481C1C}">
                          <a14:useLocalDpi xmlns:a14="http://schemas.microsoft.com/office/drawing/2010/main" val="0"/>
                        </a:ext>
                      </a:extLst>
                    </a:blip>
                    <a:srcRect/>
                    <a:stretch>
                      <a:fillRect/>
                    </a:stretch>
                  </pic:blipFill>
                  <pic:spPr bwMode="auto">
                    <a:xfrm>
                      <a:off x="0" y="0"/>
                      <a:ext cx="1485900" cy="266700"/>
                    </a:xfrm>
                    <a:prstGeom prst="rect">
                      <a:avLst/>
                    </a:prstGeom>
                    <a:noFill/>
                    <a:ln>
                      <a:noFill/>
                    </a:ln>
                  </pic:spPr>
                </pic:pic>
              </a:graphicData>
            </a:graphic>
          </wp:inline>
        </w:drawing>
      </w:r>
      <w:r>
        <w:rPr>
          <w:i/>
          <w:iCs/>
        </w:rPr>
        <w:t>.</w:t>
      </w:r>
      <w:r>
        <w:t>            (16.6)</w:t>
      </w:r>
    </w:p>
    <w:p w:rsidR="007E2D9B" w:rsidRDefault="007E2D9B" w:rsidP="007E2D9B">
      <w:pPr>
        <w:jc w:val="center"/>
      </w:pPr>
      <w:r>
        <w:t xml:space="preserve">Иногда вводят в рассмотрение помимо </w:t>
      </w:r>
      <w:r>
        <w:rPr>
          <w:i/>
          <w:iCs/>
        </w:rPr>
        <w:t>т</w:t>
      </w:r>
      <w:r>
        <w:t xml:space="preserve"> гипотез о передаче символов </w:t>
      </w:r>
      <w:r>
        <w:rPr>
          <w:noProof/>
          <w:vertAlign w:val="subscript"/>
        </w:rPr>
        <w:drawing>
          <wp:inline distT="0" distB="0" distL="0" distR="0" wp14:anchorId="14AFF050" wp14:editId="3CA2F24C">
            <wp:extent cx="942975" cy="257175"/>
            <wp:effectExtent l="0" t="0" r="9525" b="9525"/>
            <wp:docPr id="10" name="Picture 10" descr="C:\Users\Василий\Desktop\Нов лек ТЭС\Лекции ТЭС последние\ГЛАВА 2_files\image3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Василий\Desktop\Нов лек ТЭС\Лекции ТЭС последние\ГЛАВА 2_files\image328.gif"/>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942975" cy="257175"/>
                    </a:xfrm>
                    <a:prstGeom prst="rect">
                      <a:avLst/>
                    </a:prstGeom>
                    <a:noFill/>
                    <a:ln>
                      <a:noFill/>
                    </a:ln>
                  </pic:spPr>
                </pic:pic>
              </a:graphicData>
            </a:graphic>
          </wp:inline>
        </w:drawing>
      </w:r>
      <w:r>
        <w:t xml:space="preserve"> ещё дополнительную ("шумовую") гипотезу о том, что никакой сигнал не передавался, т.е. </w:t>
      </w:r>
      <w:proofErr w:type="gramStart"/>
      <w:r>
        <w:rPr>
          <w:i/>
          <w:iCs/>
          <w:lang w:val="en-US"/>
        </w:rPr>
        <w:t>z</w:t>
      </w:r>
      <w:r>
        <w:rPr>
          <w:i/>
          <w:iCs/>
        </w:rPr>
        <w:t>(</w:t>
      </w:r>
      <w:proofErr w:type="gramEnd"/>
      <w:r>
        <w:rPr>
          <w:i/>
          <w:iCs/>
          <w:lang w:val="en-US"/>
        </w:rPr>
        <w:t>t</w:t>
      </w:r>
      <w:r>
        <w:rPr>
          <w:i/>
          <w:iCs/>
        </w:rPr>
        <w:t>)</w:t>
      </w:r>
      <w:r>
        <w:t xml:space="preserve"> == </w:t>
      </w:r>
      <w:r>
        <w:rPr>
          <w:i/>
          <w:iCs/>
          <w:lang w:val="en-US"/>
        </w:rPr>
        <w:t>n</w:t>
      </w:r>
      <w:r>
        <w:rPr>
          <w:i/>
          <w:iCs/>
        </w:rPr>
        <w:t>(</w:t>
      </w:r>
      <w:r>
        <w:rPr>
          <w:i/>
          <w:iCs/>
          <w:lang w:val="en-US"/>
        </w:rPr>
        <w:t>t</w:t>
      </w:r>
      <w:r>
        <w:rPr>
          <w:i/>
          <w:iCs/>
        </w:rPr>
        <w:t>)</w:t>
      </w:r>
      <w:r>
        <w:t xml:space="preserve"> — чистая помеха. Отношение правдоподобия </w:t>
      </w:r>
      <w:r>
        <w:rPr>
          <w:noProof/>
          <w:vertAlign w:val="subscript"/>
        </w:rPr>
        <w:drawing>
          <wp:inline distT="0" distB="0" distL="0" distR="0" wp14:anchorId="52362127" wp14:editId="01A2C351">
            <wp:extent cx="990600" cy="447675"/>
            <wp:effectExtent l="0" t="0" r="0" b="9525"/>
            <wp:docPr id="11" name="Picture 11" descr="C:\Users\Василий\Desktop\Нов лек ТЭС\Лекции ТЭС последние\ГЛАВА 2_files\image3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Василий\Desktop\Нов лек ТЭС\Лекции ТЭС последние\ГЛАВА 2_files\image329.gif"/>
                    <pic:cNvPicPr>
                      <a:picLocks noChangeAspect="1" noChangeArrowheads="1"/>
                    </pic:cNvPicPr>
                  </pic:nvPicPr>
                  <pic:blipFill>
                    <a:blip r:link="rId15">
                      <a:extLst>
                        <a:ext uri="{28A0092B-C50C-407E-A947-70E740481C1C}">
                          <a14:useLocalDpi xmlns:a14="http://schemas.microsoft.com/office/drawing/2010/main" val="0"/>
                        </a:ext>
                      </a:extLst>
                    </a:blip>
                    <a:srcRect/>
                    <a:stretch>
                      <a:fillRect/>
                    </a:stretch>
                  </pic:blipFill>
                  <pic:spPr bwMode="auto">
                    <a:xfrm>
                      <a:off x="0" y="0"/>
                      <a:ext cx="990600" cy="447675"/>
                    </a:xfrm>
                    <a:prstGeom prst="rect">
                      <a:avLst/>
                    </a:prstGeom>
                    <a:noFill/>
                    <a:ln>
                      <a:noFill/>
                    </a:ln>
                  </pic:spPr>
                </pic:pic>
              </a:graphicData>
            </a:graphic>
          </wp:inline>
        </w:drawing>
      </w:r>
      <w:r>
        <w:t> обычно обозначают просто Λ</w:t>
      </w:r>
      <w:proofErr w:type="spellStart"/>
      <w:r>
        <w:rPr>
          <w:i/>
          <w:iCs/>
          <w:vertAlign w:val="subscript"/>
          <w:lang w:val="en-US"/>
        </w:rPr>
        <w:t>i</w:t>
      </w:r>
      <w:proofErr w:type="spellEnd"/>
      <w:r>
        <w:t>. Тогда правило (16.6) можно записать так</w:t>
      </w:r>
    </w:p>
    <w:p w:rsidR="007E2D9B" w:rsidRDefault="007E2D9B" w:rsidP="007E2D9B">
      <w:pPr>
        <w:jc w:val="center"/>
      </w:pPr>
      <w:r>
        <w:t>Λ</w:t>
      </w:r>
      <w:proofErr w:type="spellStart"/>
      <w:r>
        <w:rPr>
          <w:i/>
          <w:iCs/>
          <w:vertAlign w:val="subscript"/>
          <w:lang w:val="en-US"/>
        </w:rPr>
        <w:t>i</w:t>
      </w:r>
      <w:proofErr w:type="spellEnd"/>
      <w:r>
        <w:t xml:space="preserve"> &gt; Λ</w:t>
      </w:r>
      <w:r>
        <w:rPr>
          <w:vertAlign w:val="subscript"/>
          <w:lang w:val="en-US"/>
        </w:rPr>
        <w:t>j</w:t>
      </w:r>
      <w:r w:rsidRPr="00DF3D91">
        <w:rPr>
          <w:i/>
          <w:iCs/>
          <w:vertAlign w:val="subscript"/>
        </w:rPr>
        <w:t xml:space="preserve"> </w:t>
      </w:r>
      <w:r>
        <w:t xml:space="preserve">при всех </w:t>
      </w:r>
      <w:r>
        <w:rPr>
          <w:i/>
          <w:iCs/>
        </w:rPr>
        <w:t>j ≠ i.</w:t>
      </w:r>
      <w:r>
        <w:t>                        (16.7)</w:t>
      </w:r>
    </w:p>
    <w:p w:rsidR="007E2D9B" w:rsidRDefault="007E2D9B" w:rsidP="007E2D9B">
      <w:pPr>
        <w:jc w:val="center"/>
      </w:pPr>
      <w:r>
        <w:t>Такое правило максимума правдоподобия реализует критерий идеального наблюдателя при том условии, что все символы передаются равновероятно.</w:t>
      </w:r>
    </w:p>
    <w:p w:rsidR="007E2D9B" w:rsidRDefault="007E2D9B" w:rsidP="007E2D9B">
      <w:pPr>
        <w:jc w:val="center"/>
      </w:pPr>
      <w:r>
        <w:t>Для двоичной системы правило (16.7) сводится к проверке неравенства</w:t>
      </w:r>
    </w:p>
    <w:p w:rsidR="007E2D9B" w:rsidRDefault="007E2D9B" w:rsidP="007E2D9B">
      <w:pPr>
        <w:jc w:val="center"/>
      </w:pPr>
      <w:r>
        <w:t>Λ</w:t>
      </w:r>
      <w:r>
        <w:rPr>
          <w:vertAlign w:val="subscript"/>
        </w:rPr>
        <w:t>1</w:t>
      </w:r>
      <w:r>
        <w:t>&gt;Λ</w:t>
      </w:r>
      <w:r>
        <w:rPr>
          <w:i/>
          <w:iCs/>
          <w:vertAlign w:val="subscript"/>
        </w:rPr>
        <w:t>0</w:t>
      </w:r>
      <w:r>
        <w:t>.                                                (16.8)</w:t>
      </w:r>
    </w:p>
    <w:p w:rsidR="007E2D9B" w:rsidRDefault="007E2D9B" w:rsidP="007E2D9B">
      <w:pPr>
        <w:jc w:val="center"/>
      </w:pPr>
      <w:r>
        <w:t>В технике связи преимущественно применяют правило максимального правдоподобия (16.7), (16.8). В том случае, когда все символы передаются равновероятно, правило максимального правдоподобия реализует критерий идеального наблюдателя. Однако очень часто это правило решения применяют и при неизвестных или известных, но не одинаковых априорных вероятностях символов. Конечно, оно не обеспечивает в этих случаях максимума вероятности правильного приёма. Изменив решающую схему на схему, построенную по правилу максимальной апостериорной вероятности (16.3), реализующему критерий идеального наблюдателя, можно было бы уменьшить вероятность ошибок. При этом, очевидно, пришлось бы сократить области приёма маловероятных и расширить области высоковероятных символов. В результате редко передаваемые символы принимались бы менее надёжно, нежели часто передаваемые. Но редкие символы несут больше информации, чем частые. Поэтому переход от правила максимального правдоподобия к правилу максимальной апостериорной вероятности, хотя и уменьшает безусловную вероятность ошибки, может привести к увеличению потери информации при демодуляции.</w:t>
      </w:r>
    </w:p>
    <w:p w:rsidR="007E2D9B" w:rsidRDefault="007E2D9B" w:rsidP="007E2D9B">
      <w:pPr>
        <w:jc w:val="center"/>
      </w:pPr>
      <w:r>
        <w:t xml:space="preserve">Предположим, что все искажения в канале строго детерминированы и случайным является только гауссовский аддитивный шум </w:t>
      </w:r>
      <w:r>
        <w:rPr>
          <w:i/>
          <w:iCs/>
          <w:lang w:val="en-US"/>
        </w:rPr>
        <w:t>n</w:t>
      </w:r>
      <w:r>
        <w:rPr>
          <w:i/>
          <w:iCs/>
        </w:rPr>
        <w:t>(</w:t>
      </w:r>
      <w:r>
        <w:rPr>
          <w:i/>
          <w:iCs/>
          <w:lang w:val="en-US"/>
        </w:rPr>
        <w:t>t</w:t>
      </w:r>
      <w:r>
        <w:rPr>
          <w:i/>
          <w:iCs/>
        </w:rPr>
        <w:t>),</w:t>
      </w:r>
      <w:r>
        <w:t xml:space="preserve"> который вначале полагаем белым, со спектральной плотностью </w:t>
      </w:r>
      <w:r>
        <w:rPr>
          <w:i/>
          <w:iCs/>
          <w:caps/>
          <w:lang w:val="en-US"/>
        </w:rPr>
        <w:t>n</w:t>
      </w:r>
      <w:r>
        <w:rPr>
          <w:i/>
          <w:iCs/>
          <w:caps/>
          <w:vertAlign w:val="subscript"/>
        </w:rPr>
        <w:t>0</w:t>
      </w:r>
      <w:r>
        <w:rPr>
          <w:i/>
          <w:iCs/>
          <w:caps/>
        </w:rPr>
        <w:t>.</w:t>
      </w:r>
      <w:r>
        <w:rPr>
          <w:caps/>
        </w:rPr>
        <w:t xml:space="preserve"> </w:t>
      </w:r>
      <w:r>
        <w:t xml:space="preserve">Это значит, что при передаче символа </w:t>
      </w:r>
      <w:r>
        <w:rPr>
          <w:i/>
          <w:iCs/>
          <w:lang w:val="en-US"/>
        </w:rPr>
        <w:t>b</w:t>
      </w:r>
      <w:r>
        <w:rPr>
          <w:i/>
          <w:iCs/>
          <w:vertAlign w:val="subscript"/>
          <w:lang w:val="en-US"/>
        </w:rPr>
        <w:t>i</w:t>
      </w:r>
      <w:r>
        <w:t xml:space="preserve"> (</w:t>
      </w:r>
      <w:proofErr w:type="spellStart"/>
      <w:r>
        <w:rPr>
          <w:lang w:val="en-US"/>
        </w:rPr>
        <w:t>i</w:t>
      </w:r>
      <w:proofErr w:type="spellEnd"/>
      <w:r>
        <w:t>=0,1,…,</w:t>
      </w:r>
      <w:r>
        <w:rPr>
          <w:lang w:val="en-US"/>
        </w:rPr>
        <w:t>m</w:t>
      </w:r>
      <w:r>
        <w:t>-1) принимаемое колебание можно описать моделью:</w:t>
      </w:r>
    </w:p>
    <w:p w:rsidR="007E2D9B" w:rsidRDefault="007E2D9B" w:rsidP="007E2D9B">
      <w:pPr>
        <w:jc w:val="center"/>
      </w:pPr>
      <w:proofErr w:type="gramStart"/>
      <w:r>
        <w:rPr>
          <w:lang w:val="en-US"/>
        </w:rPr>
        <w:t>z</w:t>
      </w:r>
      <w:r>
        <w:t>(</w:t>
      </w:r>
      <w:proofErr w:type="gramEnd"/>
      <w:r>
        <w:rPr>
          <w:lang w:val="en-US"/>
        </w:rPr>
        <w:t>t</w:t>
      </w:r>
      <w:r>
        <w:t>)=</w:t>
      </w:r>
      <w:proofErr w:type="spellStart"/>
      <w:r>
        <w:rPr>
          <w:lang w:val="en-US"/>
        </w:rPr>
        <w:t>s</w:t>
      </w:r>
      <w:r>
        <w:rPr>
          <w:vertAlign w:val="subscript"/>
          <w:lang w:val="en-US"/>
        </w:rPr>
        <w:t>i</w:t>
      </w:r>
      <w:proofErr w:type="spellEnd"/>
      <w:r>
        <w:t>(</w:t>
      </w:r>
      <w:r>
        <w:rPr>
          <w:lang w:val="en-US"/>
        </w:rPr>
        <w:t>t</w:t>
      </w:r>
      <w:r>
        <w:t>)+</w:t>
      </w:r>
      <w:r>
        <w:rPr>
          <w:lang w:val="en-US"/>
        </w:rPr>
        <w:t>n</w:t>
      </w:r>
      <w:r>
        <w:t>(</w:t>
      </w:r>
      <w:r>
        <w:rPr>
          <w:lang w:val="en-US"/>
        </w:rPr>
        <w:t>t</w:t>
      </w:r>
      <w:r>
        <w:t xml:space="preserve">), 0 ≤ </w:t>
      </w:r>
      <w:r>
        <w:rPr>
          <w:lang w:val="en-US"/>
        </w:rPr>
        <w:t>t</w:t>
      </w:r>
      <w:r w:rsidRPr="00DF3D91">
        <w:t xml:space="preserve"> </w:t>
      </w:r>
      <w:r>
        <w:t xml:space="preserve">≤ </w:t>
      </w:r>
      <w:r>
        <w:rPr>
          <w:lang w:val="en-US"/>
        </w:rPr>
        <w:t>T</w:t>
      </w:r>
      <w:r>
        <w:t>,                            (16.9)</w:t>
      </w:r>
    </w:p>
    <w:p w:rsidR="007E2D9B" w:rsidRDefault="007E2D9B" w:rsidP="007E2D9B">
      <w:pPr>
        <w:jc w:val="center"/>
      </w:pPr>
      <w:r>
        <w:t xml:space="preserve">где все </w:t>
      </w:r>
      <w:proofErr w:type="spellStart"/>
      <w:r>
        <w:rPr>
          <w:i/>
          <w:iCs/>
          <w:lang w:val="en-US"/>
        </w:rPr>
        <w:t>s</w:t>
      </w:r>
      <w:r>
        <w:rPr>
          <w:i/>
          <w:iCs/>
          <w:vertAlign w:val="subscript"/>
          <w:lang w:val="en-US"/>
        </w:rPr>
        <w:t>i</w:t>
      </w:r>
      <w:proofErr w:type="spellEnd"/>
      <w:r>
        <w:rPr>
          <w:i/>
          <w:iCs/>
        </w:rPr>
        <w:t>(</w:t>
      </w:r>
      <w:r>
        <w:rPr>
          <w:i/>
          <w:iCs/>
          <w:lang w:val="en-US"/>
        </w:rPr>
        <w:t>t</w:t>
      </w:r>
      <w:r>
        <w:rPr>
          <w:i/>
          <w:iCs/>
        </w:rPr>
        <w:t xml:space="preserve">)= </w:t>
      </w:r>
      <w:proofErr w:type="spellStart"/>
      <w:r>
        <w:rPr>
          <w:i/>
          <w:iCs/>
          <w:lang w:val="en-US"/>
        </w:rPr>
        <w:t>γf</w:t>
      </w:r>
      <w:proofErr w:type="spellEnd"/>
      <w:r>
        <w:rPr>
          <w:i/>
          <w:iCs/>
        </w:rPr>
        <w:t>(</w:t>
      </w:r>
      <w:r>
        <w:rPr>
          <w:i/>
          <w:iCs/>
          <w:lang w:val="en-US"/>
        </w:rPr>
        <w:t>t</w:t>
      </w:r>
      <w:r>
        <w:rPr>
          <w:i/>
          <w:iCs/>
        </w:rPr>
        <w:t>-</w:t>
      </w:r>
      <w:r>
        <w:rPr>
          <w:i/>
          <w:iCs/>
          <w:lang w:val="en-US"/>
        </w:rPr>
        <w:t>τ</w:t>
      </w:r>
      <w:r>
        <w:rPr>
          <w:i/>
          <w:iCs/>
        </w:rPr>
        <w:t>-</w:t>
      </w:r>
      <w:proofErr w:type="spellStart"/>
      <w:r>
        <w:rPr>
          <w:i/>
          <w:iCs/>
          <w:lang w:val="en-US"/>
        </w:rPr>
        <w:t>kT</w:t>
      </w:r>
      <w:proofErr w:type="spellEnd"/>
      <w:r>
        <w:rPr>
          <w:i/>
          <w:iCs/>
        </w:rPr>
        <w:t>,</w:t>
      </w:r>
      <w:proofErr w:type="spellStart"/>
      <w:r>
        <w:rPr>
          <w:i/>
          <w:iCs/>
          <w:lang w:val="en-US"/>
        </w:rPr>
        <w:t>b</w:t>
      </w:r>
      <w:r>
        <w:rPr>
          <w:i/>
          <w:iCs/>
          <w:vertAlign w:val="subscript"/>
          <w:lang w:val="en-US"/>
        </w:rPr>
        <w:t>k</w:t>
      </w:r>
      <w:proofErr w:type="spellEnd"/>
      <w:r>
        <w:rPr>
          <w:i/>
          <w:iCs/>
          <w:vertAlign w:val="superscript"/>
        </w:rPr>
        <w:t>(</w:t>
      </w:r>
      <w:proofErr w:type="spellStart"/>
      <w:r>
        <w:rPr>
          <w:i/>
          <w:iCs/>
          <w:vertAlign w:val="superscript"/>
          <w:lang w:val="en-US"/>
        </w:rPr>
        <w:t>i</w:t>
      </w:r>
      <w:proofErr w:type="spellEnd"/>
      <w:r>
        <w:rPr>
          <w:i/>
          <w:iCs/>
          <w:vertAlign w:val="superscript"/>
        </w:rPr>
        <w:t>)</w:t>
      </w:r>
      <w:r>
        <w:rPr>
          <w:i/>
          <w:iCs/>
        </w:rPr>
        <w:t xml:space="preserve">) </w:t>
      </w:r>
      <w:r>
        <w:t xml:space="preserve">= </w:t>
      </w:r>
      <w:proofErr w:type="spellStart"/>
      <w:r>
        <w:rPr>
          <w:lang w:val="en-US"/>
        </w:rPr>
        <w:t>γu</w:t>
      </w:r>
      <w:r>
        <w:rPr>
          <w:vertAlign w:val="subscript"/>
          <w:lang w:val="en-US"/>
        </w:rPr>
        <w:t>i</w:t>
      </w:r>
      <w:proofErr w:type="spellEnd"/>
      <w:r>
        <w:t>(</w:t>
      </w:r>
      <w:r>
        <w:rPr>
          <w:lang w:val="en-US"/>
        </w:rPr>
        <w:t>t</w:t>
      </w:r>
      <w:r>
        <w:t>-</w:t>
      </w:r>
      <w:r>
        <w:rPr>
          <w:lang w:val="en-US"/>
        </w:rPr>
        <w:t>τ</w:t>
      </w:r>
      <w:r>
        <w:t>) известны.</w:t>
      </w:r>
    </w:p>
    <w:p w:rsidR="007E2D9B" w:rsidRDefault="007E2D9B" w:rsidP="007E2D9B">
      <w:pPr>
        <w:jc w:val="center"/>
      </w:pPr>
      <w:r>
        <w:t>Определим в этих условиях алгоритм работы оптимального (т.е. основанного на правиле максимального правдоподобия) демодулятора, анализирующего сигнал на тактовом интервале О...</w:t>
      </w:r>
      <w:r>
        <w:rPr>
          <w:lang w:val="en-US"/>
        </w:rPr>
        <w:t>T</w:t>
      </w:r>
      <w:r>
        <w:t xml:space="preserve">. Для этого необходимо найти отношения правдоподобия для всех </w:t>
      </w:r>
      <w:r>
        <w:rPr>
          <w:i/>
          <w:iCs/>
        </w:rPr>
        <w:t>т</w:t>
      </w:r>
      <w:r>
        <w:t xml:space="preserve"> возможных сигналов относительно нулевой гипотезы </w:t>
      </w:r>
      <w:r>
        <w:rPr>
          <w:i/>
          <w:iCs/>
        </w:rPr>
        <w:t>(</w:t>
      </w:r>
      <w:proofErr w:type="gramStart"/>
      <w:r>
        <w:rPr>
          <w:i/>
          <w:iCs/>
          <w:lang w:val="en-US"/>
        </w:rPr>
        <w:t>z</w:t>
      </w:r>
      <w:r>
        <w:rPr>
          <w:i/>
          <w:iCs/>
        </w:rPr>
        <w:t>(</w:t>
      </w:r>
      <w:proofErr w:type="gramEnd"/>
      <w:r>
        <w:rPr>
          <w:i/>
          <w:iCs/>
          <w:lang w:val="en-US"/>
        </w:rPr>
        <w:t>t</w:t>
      </w:r>
      <w:r>
        <w:rPr>
          <w:i/>
          <w:iCs/>
        </w:rPr>
        <w:t xml:space="preserve">)= </w:t>
      </w:r>
      <w:r>
        <w:rPr>
          <w:i/>
          <w:iCs/>
          <w:lang w:val="en-US"/>
        </w:rPr>
        <w:t>n</w:t>
      </w:r>
      <w:r>
        <w:rPr>
          <w:i/>
          <w:iCs/>
        </w:rPr>
        <w:t>(</w:t>
      </w:r>
      <w:r>
        <w:rPr>
          <w:i/>
          <w:iCs/>
          <w:lang w:val="en-US"/>
        </w:rPr>
        <w:t>t</w:t>
      </w:r>
      <w:r>
        <w:rPr>
          <w:i/>
          <w:iCs/>
        </w:rPr>
        <w:t xml:space="preserve">)). </w:t>
      </w:r>
      <w:r>
        <w:t xml:space="preserve">Задача затрудняется тем, что ширина спектра сигнала бесконечна (поскольку он финитный), а поэтому пространство сигналов бесконечномерное </w:t>
      </w:r>
      <w:r>
        <w:rPr>
          <w:i/>
          <w:iCs/>
          <w:lang w:val="en-US"/>
        </w:rPr>
        <w:t>L</w:t>
      </w:r>
      <w:r>
        <w:rPr>
          <w:i/>
          <w:iCs/>
          <w:vertAlign w:val="subscript"/>
        </w:rPr>
        <w:t>2</w:t>
      </w:r>
      <w:r>
        <w:rPr>
          <w:i/>
          <w:iCs/>
        </w:rPr>
        <w:t>(</w:t>
      </w:r>
      <w:r>
        <w:rPr>
          <w:i/>
          <w:iCs/>
          <w:lang w:val="en-US"/>
        </w:rPr>
        <w:t>T</w:t>
      </w:r>
      <w:r>
        <w:rPr>
          <w:i/>
          <w:iCs/>
        </w:rPr>
        <w:t>).</w:t>
      </w:r>
      <w:r>
        <w:t xml:space="preserve"> Для таких сигналов (или бесконечномерных векторов) не существуют плотности вероятностей. Однако существуют </w:t>
      </w:r>
      <w:r>
        <w:rPr>
          <w:lang w:val="en-US"/>
        </w:rPr>
        <w:t>n</w:t>
      </w:r>
      <w:r>
        <w:t xml:space="preserve">-мерные плотности вероятностей для любых </w:t>
      </w:r>
      <w:r>
        <w:rPr>
          <w:i/>
          <w:iCs/>
        </w:rPr>
        <w:t>п</w:t>
      </w:r>
      <w:r>
        <w:t xml:space="preserve"> сечений сигнала.</w:t>
      </w:r>
    </w:p>
    <w:p w:rsidR="007E2D9B" w:rsidRDefault="007E2D9B" w:rsidP="007E2D9B">
      <w:pPr>
        <w:jc w:val="center"/>
      </w:pPr>
      <w:r>
        <w:t xml:space="preserve">Заменим вначале белый шум квазибелым, имеющим ту же одностороннюю спектральную плотность мощности </w:t>
      </w:r>
      <w:r>
        <w:rPr>
          <w:i/>
          <w:iCs/>
          <w:caps/>
          <w:lang w:val="en-US"/>
        </w:rPr>
        <w:t>n</w:t>
      </w:r>
      <w:r>
        <w:rPr>
          <w:i/>
          <w:iCs/>
          <w:caps/>
          <w:vertAlign w:val="subscript"/>
        </w:rPr>
        <w:t>0</w:t>
      </w:r>
      <w:r>
        <w:rPr>
          <w:i/>
          <w:iCs/>
          <w:caps/>
        </w:rPr>
        <w:t>,</w:t>
      </w:r>
      <w:r>
        <w:rPr>
          <w:caps/>
        </w:rPr>
        <w:t xml:space="preserve"> </w:t>
      </w:r>
      <w:r>
        <w:t xml:space="preserve">но только в некоторой полосе частот </w:t>
      </w:r>
      <w:r>
        <w:rPr>
          <w:i/>
          <w:iCs/>
          <w:lang w:val="en-US"/>
        </w:rPr>
        <w:t>F</w:t>
      </w:r>
      <w:r>
        <w:rPr>
          <w:i/>
          <w:iCs/>
        </w:rPr>
        <w:t>= п/2Т,</w:t>
      </w:r>
      <w:r>
        <w:t xml:space="preserve"> где </w:t>
      </w:r>
      <w:r>
        <w:rPr>
          <w:lang w:val="en-US"/>
        </w:rPr>
        <w:t>n</w:t>
      </w:r>
      <w:r>
        <w:t xml:space="preserve">&gt;&gt;1. Рассмотрим дополнительную гипотезу, т.е. будем считать, что </w:t>
      </w:r>
      <w:r>
        <w:rPr>
          <w:i/>
          <w:iCs/>
          <w:lang w:val="en-US"/>
        </w:rPr>
        <w:t>z</w:t>
      </w:r>
      <w:r>
        <w:rPr>
          <w:i/>
          <w:iCs/>
        </w:rPr>
        <w:t>(</w:t>
      </w:r>
      <w:r>
        <w:rPr>
          <w:i/>
          <w:iCs/>
          <w:lang w:val="en-US"/>
        </w:rPr>
        <w:t>t</w:t>
      </w:r>
      <w:r>
        <w:rPr>
          <w:i/>
          <w:iCs/>
        </w:rPr>
        <w:t>) -</w:t>
      </w:r>
      <w:r>
        <w:t xml:space="preserve"> стационарный шум с нулевым МО. Возьмём на тактовом интервале </w:t>
      </w:r>
      <w:r>
        <w:rPr>
          <w:i/>
          <w:iCs/>
        </w:rPr>
        <w:t xml:space="preserve">п </w:t>
      </w:r>
      <w:r>
        <w:t>равноотстоящих сечений через Δ</w:t>
      </w:r>
      <w:r>
        <w:rPr>
          <w:lang w:val="en-US"/>
        </w:rPr>
        <w:t>t</w:t>
      </w:r>
      <w:r>
        <w:t>=1/2</w:t>
      </w:r>
      <w:r>
        <w:rPr>
          <w:lang w:val="en-US"/>
        </w:rPr>
        <w:t>F</w:t>
      </w:r>
      <w:r>
        <w:t>=</w:t>
      </w:r>
      <w:r>
        <w:rPr>
          <w:lang w:val="en-US"/>
        </w:rPr>
        <w:t>T</w:t>
      </w:r>
      <w:r>
        <w:t>/</w:t>
      </w:r>
      <w:r>
        <w:rPr>
          <w:lang w:val="en-US"/>
        </w:rPr>
        <w:t>n</w:t>
      </w:r>
      <w:r>
        <w:rPr>
          <w:i/>
          <w:iCs/>
        </w:rPr>
        <w:t>.</w:t>
      </w:r>
      <w:r>
        <w:t xml:space="preserve"> Отсчёты </w:t>
      </w:r>
      <w:r>
        <w:rPr>
          <w:i/>
          <w:iCs/>
          <w:lang w:val="en-US"/>
        </w:rPr>
        <w:t>Z</w:t>
      </w:r>
      <w:r>
        <w:rPr>
          <w:i/>
          <w:iCs/>
          <w:vertAlign w:val="subscript"/>
        </w:rPr>
        <w:t>1</w:t>
      </w:r>
      <w:r>
        <w:rPr>
          <w:i/>
          <w:iCs/>
        </w:rPr>
        <w:t>,...,</w:t>
      </w:r>
      <w:proofErr w:type="gramStart"/>
      <w:r>
        <w:rPr>
          <w:i/>
          <w:iCs/>
          <w:lang w:val="en-US"/>
        </w:rPr>
        <w:t>Z</w:t>
      </w:r>
      <w:r>
        <w:rPr>
          <w:i/>
          <w:iCs/>
          <w:vertAlign w:val="subscript"/>
          <w:lang w:val="en-US"/>
        </w:rPr>
        <w:t>n</w:t>
      </w:r>
      <w:r>
        <w:t xml:space="preserve"> в этих сечениях для квазибелого гауссовского шума независимы.</w:t>
      </w:r>
      <w:proofErr w:type="gramEnd"/>
      <w:r>
        <w:t xml:space="preserve"> При гипотезе, что передавался символ </w:t>
      </w:r>
      <w:r>
        <w:rPr>
          <w:i/>
          <w:iCs/>
          <w:lang w:val="en-US"/>
        </w:rPr>
        <w:t>b</w:t>
      </w:r>
      <w:r>
        <w:rPr>
          <w:i/>
          <w:iCs/>
          <w:vertAlign w:val="subscript"/>
          <w:lang w:val="en-US"/>
        </w:rPr>
        <w:t>i</w:t>
      </w:r>
      <w:r>
        <w:t xml:space="preserve">, согласно (16.9) </w:t>
      </w:r>
      <w:r>
        <w:rPr>
          <w:i/>
          <w:iCs/>
          <w:lang w:val="en-US"/>
        </w:rPr>
        <w:t>n</w:t>
      </w:r>
      <w:r>
        <w:rPr>
          <w:i/>
          <w:iCs/>
        </w:rPr>
        <w:t>(</w:t>
      </w:r>
      <w:r>
        <w:rPr>
          <w:i/>
          <w:iCs/>
          <w:lang w:val="en-US"/>
        </w:rPr>
        <w:t>t</w:t>
      </w:r>
      <w:r>
        <w:rPr>
          <w:i/>
          <w:iCs/>
        </w:rPr>
        <w:t>)=</w:t>
      </w:r>
      <w:r>
        <w:rPr>
          <w:i/>
          <w:iCs/>
          <w:lang w:val="en-US"/>
        </w:rPr>
        <w:t>z</w:t>
      </w:r>
      <w:r>
        <w:rPr>
          <w:i/>
          <w:iCs/>
        </w:rPr>
        <w:t>(</w:t>
      </w:r>
      <w:r>
        <w:rPr>
          <w:i/>
          <w:iCs/>
          <w:lang w:val="en-US"/>
        </w:rPr>
        <w:t>t</w:t>
      </w:r>
      <w:r>
        <w:rPr>
          <w:i/>
          <w:iCs/>
        </w:rPr>
        <w:t>)-</w:t>
      </w:r>
      <w:proofErr w:type="spellStart"/>
      <w:r>
        <w:rPr>
          <w:i/>
          <w:iCs/>
          <w:lang w:val="en-US"/>
        </w:rPr>
        <w:t>s</w:t>
      </w:r>
      <w:r>
        <w:rPr>
          <w:i/>
          <w:iCs/>
          <w:vertAlign w:val="subscript"/>
          <w:lang w:val="en-US"/>
        </w:rPr>
        <w:t>i</w:t>
      </w:r>
      <w:proofErr w:type="spellEnd"/>
      <w:r>
        <w:rPr>
          <w:i/>
          <w:iCs/>
        </w:rPr>
        <w:t>(</w:t>
      </w:r>
      <w:r>
        <w:rPr>
          <w:i/>
          <w:iCs/>
          <w:lang w:val="en-US"/>
        </w:rPr>
        <w:t>t</w:t>
      </w:r>
      <w:r>
        <w:rPr>
          <w:i/>
          <w:iCs/>
        </w:rPr>
        <w:t>)</w:t>
      </w:r>
      <w:r>
        <w:t>.</w:t>
      </w:r>
    </w:p>
    <w:p w:rsidR="007E2D9B" w:rsidRDefault="007E2D9B" w:rsidP="007E2D9B">
      <w:pPr>
        <w:jc w:val="center"/>
      </w:pPr>
      <w:r>
        <w:t xml:space="preserve">Вернёмся к исходной задаче для белого шума. Для этого будем расширять полосу </w:t>
      </w:r>
      <w:r>
        <w:rPr>
          <w:i/>
          <w:iCs/>
        </w:rPr>
        <w:t>F,</w:t>
      </w:r>
      <w:r>
        <w:t xml:space="preserve"> тогда число сечений </w:t>
      </w:r>
      <w:r>
        <w:rPr>
          <w:i/>
          <w:iCs/>
        </w:rPr>
        <w:t>п</w:t>
      </w:r>
      <w:r>
        <w:t xml:space="preserve"> стремится к бесконечности, а Δ</w:t>
      </w:r>
      <w:r>
        <w:rPr>
          <w:lang w:val="en-US"/>
        </w:rPr>
        <w:t>t</w:t>
      </w:r>
      <w:r>
        <w:rPr>
          <w:i/>
          <w:iCs/>
        </w:rPr>
        <w:t xml:space="preserve"> —</w:t>
      </w:r>
      <w:r>
        <w:t xml:space="preserve"> к нулю. Правило приёма сводится к проверке системы неравенств</w:t>
      </w:r>
    </w:p>
    <w:p w:rsidR="007E2D9B" w:rsidRDefault="007E2D9B" w:rsidP="007E2D9B">
      <w:pPr>
        <w:jc w:val="center"/>
      </w:pPr>
      <w:r>
        <w:rPr>
          <w:i/>
          <w:noProof/>
          <w:vertAlign w:val="subscript"/>
        </w:rPr>
        <w:drawing>
          <wp:inline distT="0" distB="0" distL="0" distR="0" wp14:anchorId="5C2BAE5A" wp14:editId="12CC87D1">
            <wp:extent cx="3781425" cy="600075"/>
            <wp:effectExtent l="0" t="0" r="9525" b="9525"/>
            <wp:docPr id="12" name="Picture 12" descr="C:\Users\Василий\Desktop\Нов лек ТЭС\Лекции ТЭС последние\ГЛАВА 2_files\image3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Василий\Desktop\Нов лек ТЭС\Лекции ТЭС последние\ГЛАВА 2_files\image330.gif"/>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3781425" cy="600075"/>
                    </a:xfrm>
                    <a:prstGeom prst="rect">
                      <a:avLst/>
                    </a:prstGeom>
                    <a:noFill/>
                    <a:ln>
                      <a:noFill/>
                    </a:ln>
                  </pic:spPr>
                </pic:pic>
              </a:graphicData>
            </a:graphic>
          </wp:inline>
        </w:drawing>
      </w:r>
      <w:r>
        <w:rPr>
          <w:i/>
          <w:iCs/>
        </w:rPr>
        <w:t xml:space="preserve">,              </w:t>
      </w:r>
      <w:r>
        <w:t>(16.10)</w:t>
      </w:r>
    </w:p>
    <w:p w:rsidR="007E2D9B" w:rsidRDefault="007E2D9B" w:rsidP="007E2D9B">
      <w:pPr>
        <w:jc w:val="center"/>
      </w:pPr>
      <w:r>
        <w:t xml:space="preserve">где </w:t>
      </w:r>
      <w:r>
        <w:rPr>
          <w:noProof/>
          <w:vertAlign w:val="subscript"/>
        </w:rPr>
        <w:drawing>
          <wp:inline distT="0" distB="0" distL="0" distR="0" wp14:anchorId="4B83290D" wp14:editId="01CAC68C">
            <wp:extent cx="876300" cy="495300"/>
            <wp:effectExtent l="0" t="0" r="0" b="0"/>
            <wp:docPr id="13" name="Picture 13" descr="C:\Users\Василий\Desktop\Нов лек ТЭС\Лекции ТЭС последние\ГЛАВА 2_files\image3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Василий\Desktop\Нов лек ТЭС\Лекции ТЭС последние\ГЛАВА 2_files\image331.gif"/>
                    <pic:cNvPicPr>
                      <a:picLocks noChangeAspect="1" noChangeArrowheads="1"/>
                    </pic:cNvPicPr>
                  </pic:nvPicPr>
                  <pic:blipFill>
                    <a:blip r:link="rId17">
                      <a:extLst>
                        <a:ext uri="{28A0092B-C50C-407E-A947-70E740481C1C}">
                          <a14:useLocalDpi xmlns:a14="http://schemas.microsoft.com/office/drawing/2010/main" val="0"/>
                        </a:ext>
                      </a:extLst>
                    </a:blip>
                    <a:srcRect/>
                    <a:stretch>
                      <a:fillRect/>
                    </a:stretch>
                  </pic:blipFill>
                  <pic:spPr bwMode="auto">
                    <a:xfrm>
                      <a:off x="0" y="0"/>
                      <a:ext cx="876300" cy="495300"/>
                    </a:xfrm>
                    <a:prstGeom prst="rect">
                      <a:avLst/>
                    </a:prstGeom>
                    <a:noFill/>
                    <a:ln>
                      <a:noFill/>
                    </a:ln>
                  </pic:spPr>
                </pic:pic>
              </a:graphicData>
            </a:graphic>
          </wp:inline>
        </w:drawing>
      </w:r>
      <w:r>
        <w:rPr>
          <w:i/>
          <w:iCs/>
        </w:rPr>
        <w:t> —</w:t>
      </w:r>
      <w:r>
        <w:t xml:space="preserve"> энергия ожидаемого сигнала </w:t>
      </w:r>
      <w:r>
        <w:rPr>
          <w:i/>
          <w:iCs/>
          <w:lang w:val="en-US"/>
        </w:rPr>
        <w:t>S</w:t>
      </w:r>
      <w:r>
        <w:rPr>
          <w:i/>
          <w:iCs/>
          <w:vertAlign w:val="subscript"/>
          <w:lang w:val="en-US"/>
        </w:rPr>
        <w:t>i</w:t>
      </w:r>
      <w:r>
        <w:rPr>
          <w:i/>
          <w:iCs/>
        </w:rPr>
        <w:t>(</w:t>
      </w:r>
      <w:r>
        <w:rPr>
          <w:i/>
          <w:iCs/>
          <w:lang w:val="en-US"/>
        </w:rPr>
        <w:t>t</w:t>
      </w:r>
      <w:r>
        <w:rPr>
          <w:i/>
          <w:iCs/>
        </w:rPr>
        <w:t>).</w:t>
      </w:r>
      <w:r>
        <w:t xml:space="preserve"> Выражение (16.10) определяет те операции </w:t>
      </w:r>
      <w:r>
        <w:rPr>
          <w:i/>
          <w:iCs/>
        </w:rPr>
        <w:t>(алгоритм приёма),</w:t>
      </w:r>
      <w:r>
        <w:t xml:space="preserve"> которые должен совершать оптимальный приёмник над входным колебанием. Для двоичной системы алгоритм (16.10) сводится к проверке одного неравенства</w:t>
      </w:r>
    </w:p>
    <w:p w:rsidR="007E2D9B" w:rsidRDefault="007E2D9B" w:rsidP="007E2D9B">
      <w:pPr>
        <w:jc w:val="center"/>
      </w:pPr>
      <w:r>
        <w:rPr>
          <w:i/>
          <w:noProof/>
          <w:vertAlign w:val="subscript"/>
        </w:rPr>
        <w:drawing>
          <wp:inline distT="0" distB="0" distL="0" distR="0" wp14:anchorId="5B2F8EC6" wp14:editId="4A851853">
            <wp:extent cx="2667000" cy="485775"/>
            <wp:effectExtent l="0" t="0" r="0" b="9525"/>
            <wp:docPr id="14" name="Picture 14" descr="C:\Users\Василий\Desktop\Нов лек ТЭС\Лекции ТЭС последние\ГЛАВА 2_files\image3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Василий\Desktop\Нов лек ТЭС\Лекции ТЭС последние\ГЛАВА 2_files\image332.gif"/>
                    <pic:cNvPicPr>
                      <a:picLocks noChangeAspect="1" noChangeArrowheads="1"/>
                    </pic:cNvPicPr>
                  </pic:nvPicPr>
                  <pic:blipFill>
                    <a:blip r:link="rId18">
                      <a:extLst>
                        <a:ext uri="{28A0092B-C50C-407E-A947-70E740481C1C}">
                          <a14:useLocalDpi xmlns:a14="http://schemas.microsoft.com/office/drawing/2010/main" val="0"/>
                        </a:ext>
                      </a:extLst>
                    </a:blip>
                    <a:srcRect/>
                    <a:stretch>
                      <a:fillRect/>
                    </a:stretch>
                  </pic:blipFill>
                  <pic:spPr bwMode="auto">
                    <a:xfrm>
                      <a:off x="0" y="0"/>
                      <a:ext cx="2667000" cy="485775"/>
                    </a:xfrm>
                    <a:prstGeom prst="rect">
                      <a:avLst/>
                    </a:prstGeom>
                    <a:noFill/>
                    <a:ln>
                      <a:noFill/>
                    </a:ln>
                  </pic:spPr>
                </pic:pic>
              </a:graphicData>
            </a:graphic>
          </wp:inline>
        </w:drawing>
      </w:r>
      <w:r>
        <w:t>(16.11)</w:t>
      </w:r>
    </w:p>
    <w:p w:rsidR="007E2D9B" w:rsidRDefault="007E2D9B" w:rsidP="007E2D9B">
      <w:pPr>
        <w:jc w:val="center"/>
      </w:pPr>
      <w:r>
        <w:t>При выполнении неравенства (16.11) регистрируется символ "1", в противном случае "0".</w:t>
      </w:r>
    </w:p>
    <w:p w:rsidR="007E2D9B" w:rsidRDefault="007E2D9B" w:rsidP="007E2D9B">
      <w:pPr>
        <w:jc w:val="center"/>
      </w:pPr>
      <w:r>
        <w:rPr>
          <w:noProof/>
        </w:rPr>
        <w:drawing>
          <wp:anchor distT="0" distB="0" distL="114300" distR="114300" simplePos="0" relativeHeight="251659264" behindDoc="0" locked="0" layoutInCell="1" allowOverlap="0" wp14:anchorId="6F030330" wp14:editId="619E3CE0">
            <wp:simplePos x="0" y="0"/>
            <wp:positionH relativeFrom="column">
              <wp:align>left</wp:align>
            </wp:positionH>
            <wp:positionV relativeFrom="line">
              <wp:posOffset>0</wp:posOffset>
            </wp:positionV>
            <wp:extent cx="2971800" cy="1819275"/>
            <wp:effectExtent l="0" t="0" r="0" b="9525"/>
            <wp:wrapSquare wrapText="bothSides"/>
            <wp:docPr id="15" name="Picture 60" descr="C:\Users\Василий\Desktop\Нов лек ТЭС\Лекции ТЭС последние\ГЛАВА 2_files\image3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Василий\Desktop\Нов лек ТЭС\Лекции ТЭС последние\ГЛАВА 2_files\image333.gif"/>
                    <pic:cNvPicPr>
                      <a:picLocks noChangeAspect="1" noChangeArrowheads="1"/>
                    </pic:cNvPicPr>
                  </pic:nvPicPr>
                  <pic:blipFill>
                    <a:blip r:link="rId19">
                      <a:extLst>
                        <a:ext uri="{28A0092B-C50C-407E-A947-70E740481C1C}">
                          <a14:useLocalDpi xmlns:a14="http://schemas.microsoft.com/office/drawing/2010/main" val="0"/>
                        </a:ext>
                      </a:extLst>
                    </a:blip>
                    <a:srcRect/>
                    <a:stretch>
                      <a:fillRect/>
                    </a:stretch>
                  </pic:blipFill>
                  <pic:spPr bwMode="auto">
                    <a:xfrm>
                      <a:off x="0" y="0"/>
                      <a:ext cx="2971800" cy="1819275"/>
                    </a:xfrm>
                    <a:prstGeom prst="rect">
                      <a:avLst/>
                    </a:prstGeom>
                    <a:noFill/>
                  </pic:spPr>
                </pic:pic>
              </a:graphicData>
            </a:graphic>
            <wp14:sizeRelH relativeFrom="page">
              <wp14:pctWidth>0</wp14:pctWidth>
            </wp14:sizeRelH>
            <wp14:sizeRelV relativeFrom="page">
              <wp14:pctHeight>0</wp14:pctHeight>
            </wp14:sizeRelV>
          </wp:anchor>
        </w:drawing>
      </w:r>
      <w:r>
        <w:t xml:space="preserve">Устройство, непосредственно вычисляющее скалярное произведение (или </w:t>
      </w:r>
      <w:r>
        <w:rPr>
          <w:i/>
          <w:iCs/>
        </w:rPr>
        <w:t xml:space="preserve">корреляционный интеграл) </w:t>
      </w:r>
      <w:r>
        <w:rPr>
          <w:noProof/>
          <w:vertAlign w:val="subscript"/>
        </w:rPr>
        <w:drawing>
          <wp:inline distT="0" distB="0" distL="0" distR="0" wp14:anchorId="0E9241B5" wp14:editId="1BEF788D">
            <wp:extent cx="1285875" cy="485775"/>
            <wp:effectExtent l="0" t="0" r="9525" b="9525"/>
            <wp:docPr id="16" name="Picture 16" descr="C:\Users\Василий\Desktop\Нов лек ТЭС\Лекции ТЭС последние\ГЛАВА 2_files\image3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Василий\Desktop\Нов лек ТЭС\Лекции ТЭС последние\ГЛАВА 2_files\image334.gif"/>
                    <pic:cNvPicPr>
                      <a:picLocks noChangeAspect="1" noChangeArrowheads="1"/>
                    </pic:cNvPicPr>
                  </pic:nvPicPr>
                  <pic:blipFill>
                    <a:blip r:link="rId20">
                      <a:extLst>
                        <a:ext uri="{28A0092B-C50C-407E-A947-70E740481C1C}">
                          <a14:useLocalDpi xmlns:a14="http://schemas.microsoft.com/office/drawing/2010/main" val="0"/>
                        </a:ext>
                      </a:extLst>
                    </a:blip>
                    <a:srcRect/>
                    <a:stretch>
                      <a:fillRect/>
                    </a:stretch>
                  </pic:blipFill>
                  <pic:spPr bwMode="auto">
                    <a:xfrm>
                      <a:off x="0" y="0"/>
                      <a:ext cx="1285875" cy="485775"/>
                    </a:xfrm>
                    <a:prstGeom prst="rect">
                      <a:avLst/>
                    </a:prstGeom>
                    <a:noFill/>
                    <a:ln>
                      <a:noFill/>
                    </a:ln>
                  </pic:spPr>
                </pic:pic>
              </a:graphicData>
            </a:graphic>
          </wp:inline>
        </w:drawing>
      </w:r>
      <w:r>
        <w:t>,     (16.12)</w:t>
      </w:r>
    </w:p>
    <w:p w:rsidR="007E2D9B" w:rsidRDefault="007E2D9B" w:rsidP="007E2D9B">
      <w:pPr>
        <w:jc w:val="center"/>
      </w:pPr>
      <w:r>
        <w:t xml:space="preserve">называют </w:t>
      </w:r>
      <w:r>
        <w:rPr>
          <w:i/>
          <w:iCs/>
        </w:rPr>
        <w:t>активным фильтром</w:t>
      </w:r>
      <w:r>
        <w:t xml:space="preserve"> или </w:t>
      </w:r>
      <w:r>
        <w:rPr>
          <w:i/>
          <w:iCs/>
        </w:rPr>
        <w:t>коррелятором,</w:t>
      </w:r>
      <w:r>
        <w:t xml:space="preserve"> поэтому приёмник, реализующий алгоритм (16.10), называют </w:t>
      </w:r>
      <w:r>
        <w:rPr>
          <w:i/>
          <w:iCs/>
        </w:rPr>
        <w:t>корреляционным.</w:t>
      </w:r>
    </w:p>
    <w:p w:rsidR="007E2D9B" w:rsidRDefault="007E2D9B" w:rsidP="007E2D9B">
      <w:pPr>
        <w:jc w:val="center"/>
      </w:pPr>
      <w:r>
        <w:rPr>
          <w:noProof/>
        </w:rPr>
        <w:drawing>
          <wp:anchor distT="0" distB="0" distL="114300" distR="114300" simplePos="0" relativeHeight="251660288" behindDoc="0" locked="0" layoutInCell="1" allowOverlap="0" wp14:anchorId="4CF06AC0" wp14:editId="3E3C2410">
            <wp:simplePos x="0" y="0"/>
            <wp:positionH relativeFrom="column">
              <wp:align>left</wp:align>
            </wp:positionH>
            <wp:positionV relativeFrom="line">
              <wp:posOffset>0</wp:posOffset>
            </wp:positionV>
            <wp:extent cx="3028950" cy="361950"/>
            <wp:effectExtent l="0" t="0" r="0" b="0"/>
            <wp:wrapSquare wrapText="bothSides"/>
            <wp:docPr id="17" name="Picture 61" descr="Подпись: Рисунок 16.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Подпись: Рисунок 16.1 "/>
                    <pic:cNvPicPr>
                      <a:picLocks noChangeAspect="1" noChangeArrowheads="1"/>
                    </pic:cNvPicPr>
                  </pic:nvPicPr>
                  <pic:blipFill>
                    <a:blip r:link="rId21">
                      <a:extLst>
                        <a:ext uri="{28A0092B-C50C-407E-A947-70E740481C1C}">
                          <a14:useLocalDpi xmlns:a14="http://schemas.microsoft.com/office/drawing/2010/main" val="0"/>
                        </a:ext>
                      </a:extLst>
                    </a:blip>
                    <a:srcRect/>
                    <a:stretch>
                      <a:fillRect/>
                    </a:stretch>
                  </pic:blipFill>
                  <pic:spPr bwMode="auto">
                    <a:xfrm>
                      <a:off x="0" y="0"/>
                      <a:ext cx="3028950" cy="361950"/>
                    </a:xfrm>
                    <a:prstGeom prst="rect">
                      <a:avLst/>
                    </a:prstGeom>
                    <a:noFill/>
                  </pic:spPr>
                </pic:pic>
              </a:graphicData>
            </a:graphic>
            <wp14:sizeRelH relativeFrom="page">
              <wp14:pctWidth>0</wp14:pctWidth>
            </wp14:sizeRelH>
            <wp14:sizeRelV relativeFrom="page">
              <wp14:pctHeight>0</wp14:pctHeight>
            </wp14:sizeRelV>
          </wp:anchor>
        </w:drawing>
      </w:r>
      <w:r>
        <w:t>На рисунке 16.1 показана структурная схема приёмного устройства, работающего в</w:t>
      </w:r>
    </w:p>
    <w:p w:rsidR="007E2D9B" w:rsidRDefault="007E2D9B" w:rsidP="007E2D9B">
      <w:pPr>
        <w:jc w:val="center"/>
      </w:pPr>
    </w:p>
    <w:tbl>
      <w:tblPr>
        <w:tblW w:w="0" w:type="auto"/>
        <w:tblCellSpacing w:w="0" w:type="dxa"/>
        <w:tblInd w:w="11895" w:type="dxa"/>
        <w:tblCellMar>
          <w:left w:w="0" w:type="dxa"/>
          <w:right w:w="0" w:type="dxa"/>
        </w:tblCellMar>
        <w:tblLook w:val="04A0" w:firstRow="1" w:lastRow="0" w:firstColumn="1" w:lastColumn="0" w:noHBand="0" w:noVBand="1"/>
      </w:tblPr>
      <w:tblGrid>
        <w:gridCol w:w="6"/>
      </w:tblGrid>
      <w:tr w:rsidR="007E2D9B" w:rsidTr="00697FD0">
        <w:trPr>
          <w:trHeight w:val="270"/>
          <w:tblCellSpacing w:w="0" w:type="dxa"/>
        </w:trPr>
        <w:tc>
          <w:tcPr>
            <w:tcW w:w="270" w:type="dxa"/>
            <w:vAlign w:val="center"/>
            <w:hideMark/>
          </w:tcPr>
          <w:tbl>
            <w:tblPr>
              <w:tblW w:w="5000" w:type="pct"/>
              <w:tblCellSpacing w:w="0" w:type="dxa"/>
              <w:tblCellMar>
                <w:left w:w="0" w:type="dxa"/>
                <w:right w:w="0" w:type="dxa"/>
              </w:tblCellMar>
              <w:tblLook w:val="04A0" w:firstRow="1" w:lastRow="0" w:firstColumn="1" w:lastColumn="0" w:noHBand="0" w:noVBand="1"/>
            </w:tblPr>
            <w:tblGrid>
              <w:gridCol w:w="6"/>
            </w:tblGrid>
            <w:tr w:rsidR="007E2D9B" w:rsidTr="00697FD0">
              <w:trPr>
                <w:tblCellSpacing w:w="0" w:type="dxa"/>
              </w:trPr>
              <w:tc>
                <w:tcPr>
                  <w:tcW w:w="0" w:type="auto"/>
                  <w:vAlign w:val="center"/>
                  <w:hideMark/>
                </w:tcPr>
                <w:p w:rsidR="007E2D9B" w:rsidRDefault="007E2D9B" w:rsidP="00697FD0">
                  <w:pPr>
                    <w:jc w:val="center"/>
                    <w:rPr>
                      <w:rFonts w:eastAsia="Times New Roman"/>
                      <w:sz w:val="20"/>
                      <w:szCs w:val="20"/>
                    </w:rPr>
                  </w:pPr>
                </w:p>
              </w:tc>
            </w:tr>
          </w:tbl>
          <w:p w:rsidR="007E2D9B" w:rsidRDefault="007E2D9B" w:rsidP="00697FD0">
            <w:pPr>
              <w:jc w:val="center"/>
              <w:rPr>
                <w:rFonts w:eastAsia="Times New Roman"/>
                <w:sz w:val="20"/>
                <w:szCs w:val="20"/>
              </w:rPr>
            </w:pPr>
          </w:p>
        </w:tc>
      </w:tr>
    </w:tbl>
    <w:p w:rsidR="007E2D9B" w:rsidRDefault="007E2D9B" w:rsidP="007E2D9B">
      <w:pPr>
        <w:jc w:val="center"/>
      </w:pPr>
      <w:r>
        <w:t>соответствии с (16.11).</w:t>
      </w:r>
    </w:p>
    <w:p w:rsidR="007E2D9B" w:rsidRDefault="007E2D9B" w:rsidP="007E2D9B">
      <w:pPr>
        <w:jc w:val="center"/>
      </w:pPr>
      <w:r>
        <w:t xml:space="preserve">Если сигналы </w:t>
      </w:r>
      <w:proofErr w:type="spellStart"/>
      <w:r>
        <w:rPr>
          <w:i/>
          <w:iCs/>
          <w:lang w:val="en-US"/>
        </w:rPr>
        <w:t>u</w:t>
      </w:r>
      <w:r>
        <w:rPr>
          <w:i/>
          <w:iCs/>
          <w:vertAlign w:val="subscript"/>
          <w:lang w:val="en-US"/>
        </w:rPr>
        <w:t>i</w:t>
      </w:r>
      <w:proofErr w:type="spellEnd"/>
      <w:r>
        <w:rPr>
          <w:i/>
          <w:iCs/>
        </w:rPr>
        <w:t>(</w:t>
      </w:r>
      <w:r>
        <w:rPr>
          <w:i/>
          <w:iCs/>
          <w:lang w:val="en-US"/>
        </w:rPr>
        <w:t>t</w:t>
      </w:r>
      <w:r>
        <w:rPr>
          <w:i/>
          <w:iCs/>
        </w:rPr>
        <w:t>)</w:t>
      </w:r>
      <w:r>
        <w:t xml:space="preserve"> выбраны таким образом, что все их реализации (а следовательно, и все реализации </w:t>
      </w:r>
      <w:proofErr w:type="spellStart"/>
      <w:r>
        <w:rPr>
          <w:i/>
          <w:iCs/>
          <w:lang w:val="en-US"/>
        </w:rPr>
        <w:t>s</w:t>
      </w:r>
      <w:r>
        <w:rPr>
          <w:i/>
          <w:iCs/>
          <w:vertAlign w:val="subscript"/>
          <w:lang w:val="en-US"/>
        </w:rPr>
        <w:t>i</w:t>
      </w:r>
      <w:proofErr w:type="spellEnd"/>
      <w:r>
        <w:rPr>
          <w:i/>
          <w:iCs/>
        </w:rPr>
        <w:t>(</w:t>
      </w:r>
      <w:r>
        <w:rPr>
          <w:i/>
          <w:iCs/>
          <w:lang w:val="en-US"/>
        </w:rPr>
        <w:t>t</w:t>
      </w:r>
      <w:r>
        <w:rPr>
          <w:i/>
          <w:iCs/>
        </w:rPr>
        <w:t>))</w:t>
      </w:r>
      <w:r>
        <w:t xml:space="preserve"> имеют одинаковые энергии </w:t>
      </w:r>
      <w:r>
        <w:rPr>
          <w:i/>
          <w:iCs/>
          <w:caps/>
        </w:rPr>
        <w:t>(</w:t>
      </w:r>
      <w:proofErr w:type="spellStart"/>
      <w:r>
        <w:rPr>
          <w:caps/>
          <w:lang w:val="en-US"/>
        </w:rPr>
        <w:t>E</w:t>
      </w:r>
      <w:r>
        <w:rPr>
          <w:i/>
          <w:iCs/>
          <w:vertAlign w:val="subscript"/>
          <w:lang w:val="en-US"/>
        </w:rPr>
        <w:t>i</w:t>
      </w:r>
      <w:proofErr w:type="spellEnd"/>
      <w:r w:rsidRPr="00DF3D91">
        <w:rPr>
          <w:caps/>
        </w:rPr>
        <w:t xml:space="preserve"> </w:t>
      </w:r>
      <w:r>
        <w:t xml:space="preserve">= </w:t>
      </w:r>
      <w:proofErr w:type="spellStart"/>
      <w:r>
        <w:rPr>
          <w:lang w:val="en-US"/>
        </w:rPr>
        <w:t>const</w:t>
      </w:r>
      <w:proofErr w:type="spellEnd"/>
      <w:r>
        <w:t>), алгоритм приёма (16.10) (и соответственно его реализация) упрощается (отпадает необходимость в вычитающих устройствах) и принимает вид</w:t>
      </w:r>
    </w:p>
    <w:p w:rsidR="007E2D9B" w:rsidRDefault="007E2D9B" w:rsidP="007E2D9B">
      <w:pPr>
        <w:jc w:val="center"/>
      </w:pPr>
      <w:r>
        <w:rPr>
          <w:i/>
          <w:noProof/>
          <w:vertAlign w:val="subscript"/>
        </w:rPr>
        <w:drawing>
          <wp:inline distT="0" distB="0" distL="0" distR="0" wp14:anchorId="10F04BF5" wp14:editId="6D9EAB93">
            <wp:extent cx="1981200" cy="485775"/>
            <wp:effectExtent l="0" t="0" r="0" b="9525"/>
            <wp:docPr id="18" name="Picture 18" descr="C:\Users\Василий\Desktop\Нов лек ТЭС\Лекции ТЭС последние\ГЛАВА 2_files\image3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Василий\Desktop\Нов лек ТЭС\Лекции ТЭС последние\ГЛАВА 2_files\image336.gif"/>
                    <pic:cNvPicPr>
                      <a:picLocks noChangeAspect="1" noChangeArrowheads="1"/>
                    </pic:cNvPicPr>
                  </pic:nvPicPr>
                  <pic:blipFill>
                    <a:blip r:link="rId22">
                      <a:extLst>
                        <a:ext uri="{28A0092B-C50C-407E-A947-70E740481C1C}">
                          <a14:useLocalDpi xmlns:a14="http://schemas.microsoft.com/office/drawing/2010/main" val="0"/>
                        </a:ext>
                      </a:extLst>
                    </a:blip>
                    <a:srcRect/>
                    <a:stretch>
                      <a:fillRect/>
                    </a:stretch>
                  </pic:blipFill>
                  <pic:spPr bwMode="auto">
                    <a:xfrm>
                      <a:off x="0" y="0"/>
                      <a:ext cx="1981200" cy="485775"/>
                    </a:xfrm>
                    <a:prstGeom prst="rect">
                      <a:avLst/>
                    </a:prstGeom>
                    <a:noFill/>
                    <a:ln>
                      <a:noFill/>
                    </a:ln>
                  </pic:spPr>
                </pic:pic>
              </a:graphicData>
            </a:graphic>
          </wp:inline>
        </w:drawing>
      </w:r>
      <w:r>
        <w:rPr>
          <w:i/>
          <w:iCs/>
        </w:rPr>
        <w:t>.</w:t>
      </w:r>
      <w:r>
        <w:t>               (16.13)</w:t>
      </w:r>
    </w:p>
    <w:p w:rsidR="007E2D9B" w:rsidRDefault="007E2D9B" w:rsidP="007E2D9B">
      <w:pPr>
        <w:jc w:val="center"/>
      </w:pPr>
      <w:r>
        <w:t xml:space="preserve">Из (16.13) видно, что правило решения не изменится, если сигнал </w:t>
      </w:r>
      <w:r>
        <w:rPr>
          <w:i/>
          <w:iCs/>
          <w:lang w:val="en-US"/>
        </w:rPr>
        <w:t>z</w:t>
      </w:r>
      <w:r>
        <w:rPr>
          <w:i/>
          <w:iCs/>
        </w:rPr>
        <w:t>(</w:t>
      </w:r>
      <w:r>
        <w:rPr>
          <w:i/>
          <w:iCs/>
          <w:lang w:val="en-US"/>
        </w:rPr>
        <w:t>t</w:t>
      </w:r>
      <w:r>
        <w:rPr>
          <w:i/>
          <w:iCs/>
        </w:rPr>
        <w:t>),</w:t>
      </w:r>
      <w:r>
        <w:t xml:space="preserve"> поступающий на вход демодулятора, умножить на любое число. Поэтому система, в которой все реализации сигнала имеют равную энергию, отличается тем, что оптимальный алгоритм приёма в ней не требует знания "масштаба" приходящего сигнала или, другими словами, знания коэффициента передачи γ канала. Эта особенность обусловила широкое распространение систем сигналов с равной энергией, что важно для каналов с замираниями, в которых коэффициент передачи флуктуирует. Заметим, что для двоичной системы неравенство (13.11) можно представить в более простом виде</w:t>
      </w:r>
    </w:p>
    <w:p w:rsidR="007E2D9B" w:rsidRDefault="007E2D9B" w:rsidP="007E2D9B">
      <w:pPr>
        <w:jc w:val="center"/>
      </w:pPr>
      <w:r>
        <w:rPr>
          <w:i/>
          <w:noProof/>
          <w:vertAlign w:val="subscript"/>
        </w:rPr>
        <w:drawing>
          <wp:inline distT="0" distB="0" distL="0" distR="0" wp14:anchorId="7B2921BB" wp14:editId="74000289">
            <wp:extent cx="1057275" cy="485775"/>
            <wp:effectExtent l="0" t="0" r="9525" b="9525"/>
            <wp:docPr id="19" name="Picture 19" descr="C:\Users\Василий\Desktop\Нов лек ТЭС\Лекции ТЭС последние\ГЛАВА 2_files\image3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Василий\Desktop\Нов лек ТЭС\Лекции ТЭС последние\ГЛАВА 2_files\image337.gif"/>
                    <pic:cNvPicPr>
                      <a:picLocks noChangeAspect="1" noChangeArrowheads="1"/>
                    </pic:cNvPicPr>
                  </pic:nvPicPr>
                  <pic:blipFill>
                    <a:blip r:link="rId23">
                      <a:extLst>
                        <a:ext uri="{28A0092B-C50C-407E-A947-70E740481C1C}">
                          <a14:useLocalDpi xmlns:a14="http://schemas.microsoft.com/office/drawing/2010/main" val="0"/>
                        </a:ext>
                      </a:extLst>
                    </a:blip>
                    <a:srcRect/>
                    <a:stretch>
                      <a:fillRect/>
                    </a:stretch>
                  </pic:blipFill>
                  <pic:spPr bwMode="auto">
                    <a:xfrm>
                      <a:off x="0" y="0"/>
                      <a:ext cx="1057275" cy="485775"/>
                    </a:xfrm>
                    <a:prstGeom prst="rect">
                      <a:avLst/>
                    </a:prstGeom>
                    <a:noFill/>
                    <a:ln>
                      <a:noFill/>
                    </a:ln>
                  </pic:spPr>
                </pic:pic>
              </a:graphicData>
            </a:graphic>
          </wp:inline>
        </w:drawing>
      </w:r>
      <w:r>
        <w:rPr>
          <w:i/>
          <w:iCs/>
        </w:rPr>
        <w:t>,</w:t>
      </w:r>
      <w:r>
        <w:t>                                    (16.14)</w:t>
      </w:r>
    </w:p>
    <w:p w:rsidR="007E2D9B" w:rsidRDefault="007E2D9B" w:rsidP="007E2D9B">
      <w:pPr>
        <w:jc w:val="center"/>
      </w:pPr>
      <w:r>
        <w:t xml:space="preserve">где </w:t>
      </w:r>
      <w:proofErr w:type="spellStart"/>
      <w:r>
        <w:rPr>
          <w:lang w:val="en-US"/>
        </w:rPr>
        <w:t>s</w:t>
      </w:r>
      <w:r>
        <w:rPr>
          <w:vertAlign w:val="subscript"/>
          <w:lang w:val="en-US"/>
        </w:rPr>
        <w:t>Δ</w:t>
      </w:r>
      <w:proofErr w:type="spellEnd"/>
      <w:r>
        <w:t>(</w:t>
      </w:r>
      <w:r>
        <w:rPr>
          <w:lang w:val="en-US"/>
        </w:rPr>
        <w:t>t</w:t>
      </w:r>
      <w:r>
        <w:t>)=</w:t>
      </w:r>
      <w:r>
        <w:rPr>
          <w:lang w:val="en-US"/>
        </w:rPr>
        <w:t>s</w:t>
      </w:r>
      <w:r>
        <w:rPr>
          <w:vertAlign w:val="subscript"/>
        </w:rPr>
        <w:t>1</w:t>
      </w:r>
      <w:r>
        <w:t>(</w:t>
      </w:r>
      <w:r>
        <w:rPr>
          <w:lang w:val="en-US"/>
        </w:rPr>
        <w:t>t</w:t>
      </w:r>
      <w:r>
        <w:t>)-</w:t>
      </w:r>
      <w:r>
        <w:rPr>
          <w:lang w:val="en-US"/>
        </w:rPr>
        <w:t>s</w:t>
      </w:r>
      <w:r>
        <w:rPr>
          <w:vertAlign w:val="subscript"/>
        </w:rPr>
        <w:t>0</w:t>
      </w:r>
      <w:r>
        <w:t>(</w:t>
      </w:r>
      <w:r>
        <w:rPr>
          <w:lang w:val="en-US"/>
        </w:rPr>
        <w:t>t</w:t>
      </w:r>
      <w:r>
        <w:t>)</w:t>
      </w:r>
      <w:r>
        <w:rPr>
          <w:i/>
          <w:iCs/>
        </w:rPr>
        <w:t xml:space="preserve"> —</w:t>
      </w:r>
      <w:r>
        <w:t xml:space="preserve"> разностный сигнал;</w:t>
      </w:r>
    </w:p>
    <w:p w:rsidR="007E2D9B" w:rsidRDefault="007E2D9B" w:rsidP="007E2D9B">
      <w:pPr>
        <w:jc w:val="center"/>
      </w:pPr>
      <w:r>
        <w:t>λ = 0,5(</w:t>
      </w:r>
      <w:r>
        <w:rPr>
          <w:lang w:val="en-US"/>
        </w:rPr>
        <w:t>E</w:t>
      </w:r>
      <w:r>
        <w:rPr>
          <w:vertAlign w:val="subscript"/>
        </w:rPr>
        <w:t>1</w:t>
      </w:r>
      <w:r>
        <w:t>-</w:t>
      </w:r>
      <w:r>
        <w:rPr>
          <w:lang w:val="en-US"/>
        </w:rPr>
        <w:t>E</w:t>
      </w:r>
      <w:r>
        <w:rPr>
          <w:vertAlign w:val="subscript"/>
        </w:rPr>
        <w:t>0</w:t>
      </w:r>
      <w:r>
        <w:rPr>
          <w:i/>
          <w:iCs/>
          <w:caps/>
        </w:rPr>
        <w:t xml:space="preserve">) </w:t>
      </w:r>
      <w:r>
        <w:rPr>
          <w:i/>
          <w:iCs/>
        </w:rPr>
        <w:t>— пороговый уровень.</w:t>
      </w:r>
    </w:p>
    <w:p w:rsidR="00E10DA9" w:rsidRDefault="007E2D9B">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709"/>
    <w:rsid w:val="000A3B22"/>
    <w:rsid w:val="007E2D9B"/>
    <w:rsid w:val="00916217"/>
    <w:rsid w:val="00FE37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D9B"/>
    <w:pPr>
      <w:spacing w:after="0" w:line="240" w:lineRule="auto"/>
    </w:pPr>
    <w:rPr>
      <w:rFonts w:ascii="Times New Roman" w:eastAsiaTheme="minorEastAsia"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2D9B"/>
    <w:rPr>
      <w:rFonts w:ascii="Tahoma" w:hAnsi="Tahoma" w:cs="Tahoma"/>
      <w:sz w:val="16"/>
      <w:szCs w:val="16"/>
    </w:rPr>
  </w:style>
  <w:style w:type="character" w:customStyle="1" w:styleId="BalloonTextChar">
    <w:name w:val="Balloon Text Char"/>
    <w:basedOn w:val="DefaultParagraphFont"/>
    <w:link w:val="BalloonText"/>
    <w:uiPriority w:val="99"/>
    <w:semiHidden/>
    <w:rsid w:val="007E2D9B"/>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D9B"/>
    <w:pPr>
      <w:spacing w:after="0" w:line="240" w:lineRule="auto"/>
    </w:pPr>
    <w:rPr>
      <w:rFonts w:ascii="Times New Roman" w:eastAsiaTheme="minorEastAsia"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2D9B"/>
    <w:rPr>
      <w:rFonts w:ascii="Tahoma" w:hAnsi="Tahoma" w:cs="Tahoma"/>
      <w:sz w:val="16"/>
      <w:szCs w:val="16"/>
    </w:rPr>
  </w:style>
  <w:style w:type="character" w:customStyle="1" w:styleId="BalloonTextChar">
    <w:name w:val="Balloon Text Char"/>
    <w:basedOn w:val="DefaultParagraphFont"/>
    <w:link w:val="BalloonText"/>
    <w:uiPriority w:val="99"/>
    <w:semiHidden/>
    <w:rsid w:val="007E2D9B"/>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3;&#1086;&#1074;%20&#1083;&#1077;&#1082;%20&#1058;&#1069;&#1057;\&#1051;&#1077;&#1082;&#1094;&#1080;&#1080;%20&#1058;&#1069;&#1057;%20&#1087;&#1086;&#1089;&#1083;&#1077;&#1076;&#1085;&#1080;&#1077;\&#1043;&#1051;&#1040;&#1042;&#1040;%202_files\image322.gif" TargetMode="External"/><Relationship Id="rId13" Type="http://schemas.openxmlformats.org/officeDocument/2006/relationships/image" Target="file:///C:\Users\&#1042;&#1072;&#1089;&#1080;&#1083;&#1080;&#1081;\Desktop\&#1053;&#1086;&#1074;%20&#1083;&#1077;&#1082;%20&#1058;&#1069;&#1057;\&#1051;&#1077;&#1082;&#1094;&#1080;&#1080;%20&#1058;&#1069;&#1057;%20&#1087;&#1086;&#1089;&#1083;&#1077;&#1076;&#1085;&#1080;&#1077;\&#1043;&#1051;&#1040;&#1042;&#1040;%202_files\image327.gif" TargetMode="External"/><Relationship Id="rId18" Type="http://schemas.openxmlformats.org/officeDocument/2006/relationships/image" Target="file:///C:\Users\&#1042;&#1072;&#1089;&#1080;&#1083;&#1080;&#1081;\Desktop\&#1053;&#1086;&#1074;%20&#1083;&#1077;&#1082;%20&#1058;&#1069;&#1057;\&#1051;&#1077;&#1082;&#1094;&#1080;&#1080;%20&#1058;&#1069;&#1057;%20&#1087;&#1086;&#1089;&#1083;&#1077;&#1076;&#1085;&#1080;&#1077;\&#1043;&#1051;&#1040;&#1042;&#1040;%202_files\image332.gif" TargetMode="External"/><Relationship Id="rId3" Type="http://schemas.openxmlformats.org/officeDocument/2006/relationships/settings" Target="settings.xml"/><Relationship Id="rId21" Type="http://schemas.openxmlformats.org/officeDocument/2006/relationships/image" Target="file:///C:\Users\&#1042;&#1072;&#1089;&#1080;&#1083;&#1080;&#1081;\Desktop\&#1053;&#1086;&#1074;%20&#1083;&#1077;&#1082;%20&#1058;&#1069;&#1057;\&#1051;&#1077;&#1082;&#1094;&#1080;&#1080;%20&#1058;&#1069;&#1057;%20&#1087;&#1086;&#1089;&#1083;&#1077;&#1076;&#1085;&#1080;&#1077;\&#1043;&#1051;&#1040;&#1042;&#1040;%202_files\image335.gif" TargetMode="External"/><Relationship Id="rId7" Type="http://schemas.openxmlformats.org/officeDocument/2006/relationships/image" Target="file:///C:\Users\&#1042;&#1072;&#1089;&#1080;&#1083;&#1080;&#1081;\Desktop\&#1053;&#1086;&#1074;%20&#1083;&#1077;&#1082;%20&#1058;&#1069;&#1057;\&#1051;&#1077;&#1082;&#1094;&#1080;&#1080;%20&#1058;&#1069;&#1057;%20&#1087;&#1086;&#1089;&#1083;&#1077;&#1076;&#1085;&#1080;&#1077;\&#1043;&#1051;&#1040;&#1042;&#1040;%202_files\image321.gif" TargetMode="External"/><Relationship Id="rId12" Type="http://schemas.openxmlformats.org/officeDocument/2006/relationships/image" Target="file:///C:\Users\&#1042;&#1072;&#1089;&#1080;&#1083;&#1080;&#1081;\Desktop\&#1053;&#1086;&#1074;%20&#1083;&#1077;&#1082;%20&#1058;&#1069;&#1057;\&#1051;&#1077;&#1082;&#1094;&#1080;&#1080;%20&#1058;&#1069;&#1057;%20&#1087;&#1086;&#1089;&#1083;&#1077;&#1076;&#1085;&#1080;&#1077;\&#1043;&#1051;&#1040;&#1042;&#1040;%202_files\image326.gif" TargetMode="External"/><Relationship Id="rId17" Type="http://schemas.openxmlformats.org/officeDocument/2006/relationships/image" Target="file:///C:\Users\&#1042;&#1072;&#1089;&#1080;&#1083;&#1080;&#1081;\Desktop\&#1053;&#1086;&#1074;%20&#1083;&#1077;&#1082;%20&#1058;&#1069;&#1057;\&#1051;&#1077;&#1082;&#1094;&#1080;&#1080;%20&#1058;&#1069;&#1057;%20&#1087;&#1086;&#1089;&#1083;&#1077;&#1076;&#1085;&#1080;&#1077;\&#1043;&#1051;&#1040;&#1042;&#1040;%202_files\image331.gif"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file:///C:\Users\&#1042;&#1072;&#1089;&#1080;&#1083;&#1080;&#1081;\Desktop\&#1053;&#1086;&#1074;%20&#1083;&#1077;&#1082;%20&#1058;&#1069;&#1057;\&#1051;&#1077;&#1082;&#1094;&#1080;&#1080;%20&#1058;&#1069;&#1057;%20&#1087;&#1086;&#1089;&#1083;&#1077;&#1076;&#1085;&#1080;&#1077;\&#1043;&#1051;&#1040;&#1042;&#1040;%202_files\image330.gif" TargetMode="External"/><Relationship Id="rId20" Type="http://schemas.openxmlformats.org/officeDocument/2006/relationships/image" Target="file:///C:\Users\&#1042;&#1072;&#1089;&#1080;&#1083;&#1080;&#1081;\Desktop\&#1053;&#1086;&#1074;%20&#1083;&#1077;&#1082;%20&#1058;&#1069;&#1057;\&#1051;&#1077;&#1082;&#1094;&#1080;&#1080;%20&#1058;&#1069;&#1057;%20&#1087;&#1086;&#1089;&#1083;&#1077;&#1076;&#1085;&#1080;&#1077;\&#1043;&#1051;&#1040;&#1042;&#1040;%202_files\image334.gif" TargetMode="External"/><Relationship Id="rId1" Type="http://schemas.openxmlformats.org/officeDocument/2006/relationships/styles" Target="styles.xml"/><Relationship Id="rId6" Type="http://schemas.openxmlformats.org/officeDocument/2006/relationships/image" Target="file:///C:\Users\&#1042;&#1072;&#1089;&#1080;&#1083;&#1080;&#1081;\Desktop\&#1053;&#1086;&#1074;%20&#1083;&#1077;&#1082;%20&#1058;&#1069;&#1057;\&#1051;&#1077;&#1082;&#1094;&#1080;&#1080;%20&#1058;&#1069;&#1057;%20&#1087;&#1086;&#1089;&#1083;&#1077;&#1076;&#1085;&#1080;&#1077;\&#1043;&#1051;&#1040;&#1042;&#1040;%202_files\image320.gif" TargetMode="External"/><Relationship Id="rId11" Type="http://schemas.openxmlformats.org/officeDocument/2006/relationships/image" Target="file:///C:\Users\&#1042;&#1072;&#1089;&#1080;&#1083;&#1080;&#1081;\Desktop\&#1053;&#1086;&#1074;%20&#1083;&#1077;&#1082;%20&#1058;&#1069;&#1057;\&#1051;&#1077;&#1082;&#1094;&#1080;&#1080;%20&#1058;&#1069;&#1057;%20&#1087;&#1086;&#1089;&#1083;&#1077;&#1076;&#1085;&#1080;&#1077;\&#1043;&#1051;&#1040;&#1042;&#1040;%202_files\image325.gif" TargetMode="External"/><Relationship Id="rId24" Type="http://schemas.openxmlformats.org/officeDocument/2006/relationships/fontTable" Target="fontTable.xml"/><Relationship Id="rId5" Type="http://schemas.openxmlformats.org/officeDocument/2006/relationships/image" Target="file:///C:\Users\&#1042;&#1072;&#1089;&#1080;&#1083;&#1080;&#1081;\Desktop\&#1053;&#1086;&#1074;%20&#1083;&#1077;&#1082;%20&#1058;&#1069;&#1057;\&#1051;&#1077;&#1082;&#1094;&#1080;&#1080;%20&#1058;&#1069;&#1057;%20&#1087;&#1086;&#1089;&#1083;&#1077;&#1076;&#1085;&#1080;&#1077;\&#1043;&#1051;&#1040;&#1042;&#1040;%202_files\image319.gif" TargetMode="External"/><Relationship Id="rId15" Type="http://schemas.openxmlformats.org/officeDocument/2006/relationships/image" Target="file:///C:\Users\&#1042;&#1072;&#1089;&#1080;&#1083;&#1080;&#1081;\Desktop\&#1053;&#1086;&#1074;%20&#1083;&#1077;&#1082;%20&#1058;&#1069;&#1057;\&#1051;&#1077;&#1082;&#1094;&#1080;&#1080;%20&#1058;&#1069;&#1057;%20&#1087;&#1086;&#1089;&#1083;&#1077;&#1076;&#1085;&#1080;&#1077;\&#1043;&#1051;&#1040;&#1042;&#1040;%202_files\image329.gif" TargetMode="External"/><Relationship Id="rId23" Type="http://schemas.openxmlformats.org/officeDocument/2006/relationships/image" Target="file:///C:\Users\&#1042;&#1072;&#1089;&#1080;&#1083;&#1080;&#1081;\Desktop\&#1053;&#1086;&#1074;%20&#1083;&#1077;&#1082;%20&#1058;&#1069;&#1057;\&#1051;&#1077;&#1082;&#1094;&#1080;&#1080;%20&#1058;&#1069;&#1057;%20&#1087;&#1086;&#1089;&#1083;&#1077;&#1076;&#1085;&#1080;&#1077;\&#1043;&#1051;&#1040;&#1042;&#1040;%202_files\image337.gif" TargetMode="External"/><Relationship Id="rId10" Type="http://schemas.openxmlformats.org/officeDocument/2006/relationships/image" Target="file:///C:\Users\&#1042;&#1072;&#1089;&#1080;&#1083;&#1080;&#1081;\Desktop\&#1053;&#1086;&#1074;%20&#1083;&#1077;&#1082;%20&#1058;&#1069;&#1057;\&#1051;&#1077;&#1082;&#1094;&#1080;&#1080;%20&#1058;&#1069;&#1057;%20&#1087;&#1086;&#1089;&#1083;&#1077;&#1076;&#1085;&#1080;&#1077;\&#1043;&#1051;&#1040;&#1042;&#1040;%202_files\image324.gif" TargetMode="External"/><Relationship Id="rId19" Type="http://schemas.openxmlformats.org/officeDocument/2006/relationships/image" Target="file:///C:\Users\&#1042;&#1072;&#1089;&#1080;&#1083;&#1080;&#1081;\Desktop\&#1053;&#1086;&#1074;%20&#1083;&#1077;&#1082;%20&#1058;&#1069;&#1057;\&#1051;&#1077;&#1082;&#1094;&#1080;&#1080;%20&#1058;&#1069;&#1057;%20&#1087;&#1086;&#1089;&#1083;&#1077;&#1076;&#1085;&#1080;&#1077;\&#1043;&#1051;&#1040;&#1042;&#1040;%202_files\image333.gif" TargetMode="External"/><Relationship Id="rId4" Type="http://schemas.openxmlformats.org/officeDocument/2006/relationships/webSettings" Target="webSettings.xml"/><Relationship Id="rId9" Type="http://schemas.openxmlformats.org/officeDocument/2006/relationships/image" Target="file:///C:\Users\&#1042;&#1072;&#1089;&#1080;&#1083;&#1080;&#1081;\Desktop\&#1053;&#1086;&#1074;%20&#1083;&#1077;&#1082;%20&#1058;&#1069;&#1057;\&#1051;&#1077;&#1082;&#1094;&#1080;&#1080;%20&#1058;&#1069;&#1057;%20&#1087;&#1086;&#1089;&#1083;&#1077;&#1076;&#1085;&#1080;&#1077;\&#1043;&#1051;&#1040;&#1042;&#1040;%202_files\image323.gif" TargetMode="External"/><Relationship Id="rId14" Type="http://schemas.openxmlformats.org/officeDocument/2006/relationships/image" Target="file:///C:\Users\&#1042;&#1072;&#1089;&#1080;&#1083;&#1080;&#1081;\Desktop\&#1053;&#1086;&#1074;%20&#1083;&#1077;&#1082;%20&#1058;&#1069;&#1057;\&#1051;&#1077;&#1082;&#1094;&#1080;&#1080;%20&#1058;&#1069;&#1057;%20&#1087;&#1086;&#1089;&#1083;&#1077;&#1076;&#1085;&#1080;&#1077;\&#1043;&#1051;&#1040;&#1042;&#1040;%202_files\image328.gif" TargetMode="External"/><Relationship Id="rId22" Type="http://schemas.openxmlformats.org/officeDocument/2006/relationships/image" Target="file:///C:\Users\&#1042;&#1072;&#1089;&#1080;&#1083;&#1080;&#1081;\Desktop\&#1053;&#1086;&#1074;%20&#1083;&#1077;&#1082;%20&#1058;&#1069;&#1057;\&#1051;&#1077;&#1082;&#1094;&#1080;&#1080;%20&#1058;&#1069;&#1057;%20&#1087;&#1086;&#1089;&#1083;&#1077;&#1076;&#1085;&#1080;&#1077;\&#1043;&#1051;&#1040;&#1042;&#1040;%202_files\image336.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1312</Words>
  <Characters>7482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2020-09-24T19:31:00Z</dcterms:created>
  <dcterms:modified xsi:type="dcterms:W3CDTF">2020-09-24T19:31:00Z</dcterms:modified>
</cp:coreProperties>
</file>